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jc w:val="center"/>
      </w:pPr>
      <w:r>
        <w:drawing>
          <wp:inline>
            <wp:extent cx="1259999" cy="629999"/>
            <wp:effectExtent b="0" l="0" r="0" t="0"/>
            <wp:docPr descr="image" title="" id="10" name="Picture"/>
            <a:graphic>
              <a:graphicData uri="http://schemas.openxmlformats.org/drawingml/2006/picture">
                <pic:pic>
                  <pic:nvPicPr>
                    <pic:cNvPr descr="uq_logo.jpg" id="11" name="Picture"/>
                    <pic:cNvPicPr>
                      <a:picLocks noChangeArrowheads="1" noChangeAspect="1"/>
                    </pic:cNvPicPr>
                  </pic:nvPicPr>
                  <pic:blipFill>
                    <a:blip r:embed="rId9"/>
                    <a:stretch>
                      <a:fillRect/>
                    </a:stretch>
                  </pic:blipFill>
                  <pic:spPr bwMode="auto">
                    <a:xfrm>
                      <a:off x="0" y="0"/>
                      <a:ext cx="1259999" cy="629999"/>
                    </a:xfrm>
                    <a:prstGeom prst="rect">
                      <a:avLst/>
                    </a:prstGeom>
                    <a:noFill/>
                    <a:ln w="9525">
                      <a:noFill/>
                      <a:headEnd/>
                      <a:tailEnd/>
                    </a:ln>
                  </pic:spPr>
                </pic:pic>
              </a:graphicData>
            </a:graphic>
          </wp:inline>
        </w:drawing>
      </w:r>
    </w:p>
    <w:p>
      <w:pPr>
        <w:pStyle w:val="BodyText"/>
        <w:jc w:val="center"/>
      </w:pPr>
      <w:r>
        <w:rPr>
          <w:smallCaps/>
        </w:rPr>
        <w:t xml:space="preserve">Université du Québec en Outaouais</w:t>
      </w:r>
      <w:r>
        <w:br/>
      </w:r>
      <w:r>
        <w:rPr>
          <w:smallCaps/>
        </w:rPr>
        <w:t xml:space="preserve">Département des sciences administratives</w:t>
      </w:r>
    </w:p>
    <w:p>
      <w:pPr>
        <w:pStyle w:val="BodyText"/>
        <w:jc w:val="center"/>
      </w:pPr>
      <w:r>
        <w:rPr>
          <w:smallCaps/>
        </w:rPr>
        <w:t xml:space="preserve">Working Paper No. 0001</w:t>
      </w:r>
      <w:r>
        <w:br/>
      </w:r>
      <w:r>
        <w:rPr>
          <w:i/>
          <w:iCs/>
        </w:rPr>
        <w:t xml:space="preserve">Research funded by the FIRC (Fonds institutionnel de recherche et de création), Université du Québec en Outaouais.</w:t>
      </w:r>
    </w:p>
    <w:p>
      <w:pPr>
        <w:pStyle w:val="BodyText"/>
        <w:jc w:val="center"/>
      </w:pPr>
      <w:r>
        <w:rPr>
          <w:b/>
          <w:bCs/>
          <w:sz w:val="36"/>
        </w:rPr>
        <w:t xml:space="preserve">From Corporate Disclosures to a Russell 3000 Strategic Project Database</w:t>
      </w:r>
    </w:p>
    <w:p>
      <w:pPr>
        <w:pStyle w:val="BodyText"/>
        <w:jc w:val="center"/>
      </w:pPr>
      <w:r>
        <w:rPr>
          <w:i/>
          <w:iCs/>
          <w:sz w:val="26"/>
        </w:rPr>
        <w:t xml:space="preserve">Identification, Measurement, Validation, and Research Applications</w:t>
      </w:r>
    </w:p>
    <w:p>
      <w:pPr>
        <w:pStyle w:val="BodyText"/>
        <w:jc w:val="center"/>
      </w:pPr>
      <w:r>
        <w:t xml:space="preserve">Manel Kammoun      Djerrycharli Tandjambianda      Simon-Pierre Boucher</w:t>
      </w:r>
      <w:r>
        <w:br/>
      </w:r>
      <w:r>
        <w:t xml:space="preserve"> </w:t>
      </w:r>
      <w:r>
        <w:t xml:space="preserve">Département des sciences administratives</w:t>
      </w:r>
      <w:r>
        <w:br/>
      </w:r>
      <w:r>
        <w:t xml:space="preserve">Université du Québec en Outaouais</w:t>
      </w:r>
      <w:r>
        <w:t xml:space="preserve"> </w:t>
      </w:r>
      <w:r>
        <w:br/>
      </w:r>
      <w:r>
        <w:t xml:space="preserve"> </w:t>
      </w:r>
      <w:hyperlink r:id="rId12">
        <w:r>
          <w:rPr>
            <w:rStyle w:val="Hyperlink"/>
          </w:rPr>
          <w:t xml:space="preserve">manel.kammoun@uqo.ca</w:t>
        </w:r>
      </w:hyperlink>
      <w:r>
        <w:t xml:space="preserve"> </w:t>
      </w:r>
      <w:r>
        <w:t xml:space="preserve"> · </w:t>
      </w:r>
      <w:r>
        <w:t xml:space="preserve"> </w:t>
      </w:r>
      <w:hyperlink r:id="rId13">
        <w:r>
          <w:rPr>
            <w:rStyle w:val="Hyperlink"/>
          </w:rPr>
          <w:t xml:space="preserve">djerrycharli.tandjambianda@uqo.ca</w:t>
        </w:r>
      </w:hyperlink>
      <w:r>
        <w:t xml:space="preserve"> </w:t>
      </w:r>
      <w:r>
        <w:t xml:space="preserve"> · </w:t>
      </w:r>
      <w:r>
        <w:t xml:space="preserve"> </w:t>
      </w:r>
      <w:hyperlink r:id="rId14">
        <w:r>
          <w:rPr>
            <w:rStyle w:val="Hyperlink"/>
          </w:rPr>
          <w:t xml:space="preserve">simon-pierre.boucher@uqo.ca</w:t>
        </w:r>
      </w:hyperlink>
      <w:r>
        <w:t xml:space="preserve"> </w:t>
      </w:r>
      <w:r>
        <w:br/>
      </w:r>
      <w:r>
        <w:t xml:space="preserve"> </w:t>
      </w:r>
      <w:r>
        <w:t xml:space="preserve">Gatineau – Pavillon Alexandre-Taché</w:t>
      </w:r>
      <w:r>
        <w:br/>
      </w:r>
      <w:r>
        <w:t xml:space="preserve">283, boulevard Alexandre-Taché</w:t>
      </w:r>
      <w:r>
        <w:br/>
      </w:r>
      <w:r>
        <w:t xml:space="preserve">Gatineau, Québec, Canada J9A 1L8</w:t>
      </w:r>
      <w:r>
        <w:t xml:space="preserve"> </w:t>
      </w:r>
    </w:p>
    <w:p>
      <w:pPr>
        <w:pStyle w:val="BodyText"/>
        <w:jc w:val="center"/>
      </w:pPr>
      <w:r>
        <w:t xml:space="preserve">October 28, 2026</w:t>
      </w:r>
      <w:r>
        <w:br/>
      </w:r>
      <w:r>
        <w:t xml:space="preserve">Version 1.0 (working draft under validation)</w:t>
      </w:r>
      <w:r>
        <w:br/>
      </w:r>
      <w:r>
        <w:rPr>
          <w:i/>
          <w:iCs/>
        </w:rPr>
        <w:t xml:space="preserve">Working draft. Author order, affiliations and CRediT contributions remain subject to confirmation by all coauthors (see</w:t>
      </w:r>
      <w:r>
        <w:rPr>
          <w:i/>
          <w:iCs/>
        </w:rPr>
        <w:t xml:space="preserve"> </w:t>
      </w:r>
      <w:r>
        <w:rPr>
          <w:rStyle w:val="VerbatimChar"/>
          <w:i/>
          <w:iCs/>
        </w:rPr>
        <w:t xml:space="preserve">docs/contributions.md</w:t>
      </w:r>
      <w:r>
        <w:rPr>
          <w:i/>
          <w:iCs/>
        </w:rPr>
        <w:t xml:space="preserve">). Not for citation without permission.</w:t>
      </w:r>
    </w:p>
    <w:p>
      <w:pPr>
        <w:pageBreakBefore/>
      </w:pPr>
      <w:r>
        <w:pict>
          <v:rect style="width:0;height:1.5pt" o:hralign="center" o:hrstd="t" o:hr="t"/>
        </w:pict>
      </w:r>
    </w:p>
    <w:p>
      <w:pPr>
        <w:pStyle w:val="FirstParagraph"/>
      </w:pPr>
      <w:r>
        <w:rPr>
          <w:b/>
          <w:bCs/>
        </w:rPr>
        <w:t xml:space="preserve">Abstract</w:t>
      </w:r>
    </w:p>
    <w:p>
      <w:pPr>
        <w:pStyle w:val="BodyText"/>
      </w:pPr>
      <w:r>
        <w:t xml:space="preserve">We document the construction of SPID, a project-level research database that reconstructs the strategic initiatives disclosed by U.S.-listed companies in their SEC filings. Starting from an issuer universe that merges a current S&amp;P 500 snapshot with the holdings of the iShares Russell 3000 ETF (2</w:t>
      </w:r>
      <w:r>
        <w:t xml:space="preserve">,</w:t>
      </w:r>
      <w:r>
        <w:t xml:space="preserve">564 distinct SEC registrants), the pipeline collects every 10-K, 10-Q and 8-K filed since January 2010 (527</w:t>
      </w:r>
      <w:r>
        <w:t xml:space="preserve">,</w:t>
      </w:r>
      <w:r>
        <w:t xml:space="preserve">548 documents), segments them into 1.34 million sections, and submits 1.12 million eligible sections to a schema-constrained large-language-model extractor. The result is 308</w:t>
      </w:r>
      <w:r>
        <w:t xml:space="preserve">,</w:t>
      </w:r>
      <w:r>
        <w:t xml:space="preserve">065 evidence-linked project mentions, resolved into 121</w:t>
      </w:r>
      <w:r>
        <w:t xml:space="preserve">,</w:t>
      </w:r>
      <w:r>
        <w:t xml:space="preserve">099 candidate projects for 2</w:t>
      </w:r>
      <w:r>
        <w:t xml:space="preserve">,</w:t>
      </w:r>
      <w:r>
        <w:t xml:space="preserve">492 issuers, each tied to its SEC accession number, section and source passage, together with a controlled 21-category taxonomy, status, cited years, locations, technologies, partners and disclosed amounts. We describe the universe definition and its reconciliation, the distributed acquisition and parsing architecture, the extraction contract and its confidence semantics, the mention-to-project resolution rule and its known failure modes, and the point-in-time structure of the timelines. We then set out a validation framework—stratified human annotation, precision/recall on an independent gold standard, linkage audits and coverage gates—and state explicitly which of its components are implemented and which remain to be executed. Descriptive patterns are reported for the full corpus, with the caveat that a disclosed project is neither a verified investment nor a realized expenditure. The database should be read as a research instrument under validation rather than as an exhaustive census of Russell 3000 projects.</w:t>
      </w:r>
    </w:p>
    <w:p>
      <w:pPr>
        <w:pStyle w:val="BodyText"/>
      </w:pPr>
      <w:r>
        <w:rPr>
          <w:b/>
          <w:bCs/>
        </w:rPr>
        <w:t xml:space="preserve">Keywords:</w:t>
      </w:r>
      <w:r>
        <w:t xml:space="preserve"> </w:t>
      </w:r>
      <w:r>
        <w:t xml:space="preserve">SEC filings, text as data, corporate investment, strategic projects, information extraction, large language models, entity resolution, Russell 3000, measurement validation</w:t>
      </w:r>
    </w:p>
    <w:p>
      <w:pPr>
        <w:pStyle w:val="BodyText"/>
      </w:pPr>
      <w:r>
        <w:rPr>
          <w:b/>
          <w:bCs/>
        </w:rPr>
        <w:t xml:space="preserve">JEL Classification:</w:t>
      </w:r>
      <w:r>
        <w:t xml:space="preserve"> </w:t>
      </w:r>
      <w:r>
        <w:t xml:space="preserve">C55, C81, G31, G38, M41, O33</w:t>
      </w:r>
    </w:p>
    <w:p>
      <w:r>
        <w:pict>
          <v:rect style="width:0;height:1.5pt" o:hralign="center" o:hrstd="t" o:hr="t"/>
        </w:pict>
      </w:r>
    </w:p>
    <w:bookmarkStart w:id="15" w:name="introduction"/>
    <w:p>
      <w:pPr>
        <w:pStyle w:val="Heading1"/>
        <w:pageBreakBefore/>
      </w:pPr>
      <w:r>
        <w:t xml:space="preserve">1 Introduction</w:t>
      </w:r>
    </w:p>
    <w:p>
      <w:pPr>
        <w:pStyle w:val="FirstParagraph"/>
      </w:pPr>
      <w:r>
        <w:t xml:space="preserve">A large share of what firms do strategically—build plants, open data centers, integrate acquisitions, launch products, move systems to the cloud, commit to decarbonization targets—is described, often repeatedly and over several years, in the narrative sections of their regulatory filings. Yet the standard quantitative record of corporate investment is an aggregate: capital expenditure, R&amp;D expense, acquisitions, or counts of patents and plants. Researchers who want to observe the</w:t>
      </w:r>
      <w:r>
        <w:t xml:space="preserve"> </w:t>
      </w:r>
      <w:r>
        <w:rPr>
          <w:i/>
          <w:iCs/>
        </w:rPr>
        <w:t xml:space="preserve">unit of decision</w:t>
      </w:r>
      <w:r>
        <w:t xml:space="preserve">—a specific, identifiable initiative with a start, a scope, a budget and a fate—have had to assemble hand-collected samples, rely on commercial databases with opaque coverage, or infer initiatives indirectly from word frequencies. This paper documents an attempt to build that unit systematically, from primary sources, for a broad cross-section of U.S.-listed companies.</w:t>
      </w:r>
    </w:p>
    <w:p>
      <w:pPr>
        <w:pStyle w:val="BodyText"/>
      </w:pPr>
      <w:r>
        <w:t xml:space="preserve">The object we describe is SPID (</w:t>
      </w:r>
      <w:r>
        <w:rPr>
          <w:i/>
          <w:iCs/>
        </w:rPr>
        <w:t xml:space="preserve">SEC Project Intelligence Database</w:t>
      </w:r>
      <w:r>
        <w:t xml:space="preserve">), developed at the Université du Québec en Outaouais on top of the UQO EDGAR research corpus. Its first release, in June 2026, covered the 500 constituents of the S&amp;P 500</w:t>
      </w:r>
      <w:r>
        <w:t xml:space="preserve"> </w:t>
      </w:r>
      <w:r>
        <w:t xml:space="preserve">(Tandjambianda et al. 2026)</w:t>
      </w:r>
      <w:r>
        <w:t xml:space="preserve">. The present paper documents its extension, carried out on October 27–28, 2026, to an issuer universe that approximates the Russell 3000: 2</w:t>
      </w:r>
      <w:r>
        <w:t xml:space="preserve">,</w:t>
      </w:r>
      <w:r>
        <w:t xml:space="preserve">564 distinct SEC registrants, 527</w:t>
      </w:r>
      <w:r>
        <w:t xml:space="preserve">,</w:t>
      </w:r>
      <w:r>
        <w:t xml:space="preserve">548 annual, quarterly and current reports filed between January 2010 and October 2026, 1.12 million filing sections submitted to a schema-constrained large-language-model (LLM) extractor, and 308</w:t>
      </w:r>
      <w:r>
        <w:t xml:space="preserve">,</w:t>
      </w:r>
      <w:r>
        <w:t xml:space="preserve">065 resulting project mentions resolved into 121</w:t>
      </w:r>
      <w:r>
        <w:t xml:space="preserve">,</w:t>
      </w:r>
      <w:r>
        <w:t xml:space="preserve">099 candidate projects. Every retained mention carries the SEC accession number, the section identifier and a model-generated description grounded in the source passage, so that any number in the database can be traced back to a public document.</w:t>
      </w:r>
    </w:p>
    <w:p>
      <w:pPr>
        <w:pStyle w:val="BodyText"/>
      </w:pPr>
      <w:r>
        <w:t xml:space="preserve">Our core research question is methodological: can we reliably identify, classify, date, link and quantify distinct strategic projects disclosed by Russell 3000 companies, while preserving source evidence and without claiming exhaustive coverage of real-world activity? The answer offered here is deliberately two-sided. On the positive side, the pipeline is reproducible end to end, every intermediate artifact is versioned, and the full corpus has been processed with a single extraction contract and an audit ledger that records which sections were seen. On the cautious side, several components that a fully validated measurement instrument requires—an independent human-coded gold standard, precision and recall estimates by category and field, an audit of cross-filing linkage—are specified in this paper but have not yet been executed at scale. We therefore describe SPID as a</w:t>
      </w:r>
      <w:r>
        <w:t xml:space="preserve"> </w:t>
      </w:r>
      <w:r>
        <w:rPr>
          <w:i/>
          <w:iCs/>
        </w:rPr>
        <w:t xml:space="preserve">research database under validation</w:t>
      </w:r>
      <w:r>
        <w:t xml:space="preserve">, and we keep a running register that separates implemented, documented-but-unverified, proposed and empirically verified claims (Appendix D).</w:t>
      </w:r>
    </w:p>
    <w:p>
      <w:pPr>
        <w:pStyle w:val="BodyText"/>
      </w:pPr>
      <w:r>
        <w:t xml:space="preserve">The paper makes four contributions. First, it specifies the measurement target precisely: a</w:t>
      </w:r>
      <w:r>
        <w:t xml:space="preserve"> </w:t>
      </w:r>
      <w:r>
        <w:rPr>
          <w:i/>
          <w:iCs/>
        </w:rPr>
        <w:t xml:space="preserve">project</w:t>
      </w:r>
      <w:r>
        <w:t xml:space="preserve"> </w:t>
      </w:r>
      <w:r>
        <w:t xml:space="preserve">is a distinct, identifiable, issuer-associated strategic initiative described in one or more disclosures, as opposed to a</w:t>
      </w:r>
      <w:r>
        <w:t xml:space="preserve"> </w:t>
      </w:r>
      <w:r>
        <w:rPr>
          <w:i/>
          <w:iCs/>
        </w:rPr>
        <w:t xml:space="preserve">project mention</w:t>
      </w:r>
      <w:r>
        <w:t xml:space="preserve"> </w:t>
      </w:r>
      <w:r>
        <w:t xml:space="preserve">(a particular sourced statement), a</w:t>
      </w:r>
      <w:r>
        <w:t xml:space="preserve"> </w:t>
      </w:r>
      <w:r>
        <w:rPr>
          <w:i/>
          <w:iCs/>
        </w:rPr>
        <w:t xml:space="preserve">generic strategy</w:t>
      </w:r>
      <w:r>
        <w:t xml:space="preserve"> </w:t>
      </w:r>
      <w:r>
        <w:t xml:space="preserve">(</w:t>
      </w:r>
      <w:r>
        <w:t xml:space="preserve">“we invest in innovation”</w:t>
      </w:r>
      <w:r>
        <w:t xml:space="preserve">), a historical or third-party reference, or an uncertain candidate. Section 5 develops these distinctions and ties them to the existing 21-category SPID taxonomy, which we document rather than redesign. Second, it documents a scalable architecture: a frozen issuer universe reconciled against SEC identifiers; an acquisition layer that respects the SEC’s fair-access limits by sharing one aggregate rate budget across ten cluster nodes and one external gateway; a parser that keeps raw-to-clean-text provenance; and an extraction ledger that makes the paid inference step resumable and idempotent (Section 4). Third, it exposes the extraction contract and the resolution rule in enough detail to be criticized: the prompt, the JSON schema, the confidence semantics, the deterministic project key, and the ways in which that key can both split and merge real initiatives (Section 6). Fourth, it lays out a validation protocol and a set of acceptance gates, and reports what the current build does and does not satisfy (Section 8).</w:t>
      </w:r>
    </w:p>
    <w:p>
      <w:pPr>
        <w:pStyle w:val="BodyText"/>
      </w:pPr>
      <w:r>
        <w:t xml:space="preserve">Three caveats frame everything that follows. A present-day holdings file of an index-tracking fund is a proxy for index membership, not an authoritative historical constituent list; the universe is a snapshot, and survivorship is built into it (Section 3). A disclosed project is evidence that an issuer</w:t>
      </w:r>
      <w:r>
        <w:t xml:space="preserve"> </w:t>
      </w:r>
      <w:r>
        <w:rPr>
          <w:i/>
          <w:iCs/>
        </w:rPr>
        <w:t xml:space="preserve">described</w:t>
      </w:r>
      <w:r>
        <w:t xml:space="preserve"> </w:t>
      </w:r>
      <w:r>
        <w:t xml:space="preserve">an initiative, not evidence that the initiative happened, and a disclosed budget is a statement about intentions or estimates, not realized capital expenditure. Finally, the extractor only sees what the parser gives it: sections that were truncated, filings that failed to download, and exhibits outside the selected forms are invisible, and</w:t>
      </w:r>
      <w:r>
        <w:t xml:space="preserve"> </w:t>
      </w:r>
      <w:r>
        <w:t xml:space="preserve">“zero projects”</w:t>
      </w:r>
      <w:r>
        <w:t xml:space="preserve"> </w:t>
      </w:r>
      <w:r>
        <w:t xml:space="preserve">for an issuer-year must never be read as</w:t>
      </w:r>
      <w:r>
        <w:t xml:space="preserve"> </w:t>
      </w:r>
      <w:r>
        <w:t xml:space="preserve">“no projects”</w:t>
      </w:r>
      <w:r>
        <w:t xml:space="preserve">.</w:t>
      </w:r>
    </w:p>
    <w:p>
      <w:pPr>
        <w:pStyle w:val="BodyText"/>
      </w:pPr>
      <w:r>
        <w:t xml:space="preserve">The rest of the paper is organized as follows. Section 2 positions the work in the text-as-data, corporate-investment and information-extraction literatures. Section 3 defines the universe and reports its reconciliation. Section 4 describes acquisition, parsing and the distributed build. Section 5 defines the project construct and the extraction contract. Section 6 covers mention-to-project resolution, timelines and amounts. Section 7 reports descriptive patterns. Section 8 presents the validation framework and the current audit. Section 9 discusses research applications and identification limits, and Section 10 concludes. Appendices provide the taxonomy, the data dictionary, the prompt, the evidence register and replication instructions.</w:t>
      </w:r>
    </w:p>
    <w:bookmarkEnd w:id="15"/>
    <w:bookmarkStart w:id="21" w:name="related-literature"/>
    <w:p>
      <w:pPr>
        <w:pStyle w:val="Heading1"/>
      </w:pPr>
      <w:r>
        <w:t xml:space="preserve">2 Related Literature</w:t>
      </w:r>
    </w:p>
    <w:bookmarkStart w:id="16" w:name="text-as-data-in-accounting-and-finance."/>
    <w:p>
      <w:pPr>
        <w:pStyle w:val="Heading4"/>
      </w:pPr>
      <w:r>
        <w:t xml:space="preserve">Text as data in accounting and finance.</w:t>
      </w:r>
    </w:p>
    <w:p>
      <w:pPr>
        <w:pStyle w:val="FirstParagraph"/>
      </w:pPr>
      <w:r>
        <w:t xml:space="preserve">The narrative content of SEC filings has become a standard empirical input.</w:t>
      </w:r>
      <w:r>
        <w:t xml:space="preserve"> </w:t>
      </w:r>
      <w:r>
        <w:t xml:space="preserve">Loughran and McDonald (2011)</w:t>
      </w:r>
      <w:r>
        <w:t xml:space="preserve"> </w:t>
      </w:r>
      <w:r>
        <w:t xml:space="preserve">showed that general-purpose sentiment dictionaries misclassify financial text and introduced finance-specific word lists;</w:t>
      </w:r>
      <w:r>
        <w:t xml:space="preserve"> </w:t>
      </w:r>
      <w:r>
        <w:t xml:space="preserve">Loughran and McDonald (2016)</w:t>
      </w:r>
      <w:r>
        <w:t xml:space="preserve"> </w:t>
      </w:r>
      <w:r>
        <w:t xml:space="preserve">survey the subsequent decade of textual analysis in accounting and finance, and</w:t>
      </w:r>
      <w:r>
        <w:t xml:space="preserve"> </w:t>
      </w:r>
      <w:r>
        <w:t xml:space="preserve">Gentzkow et al. (2019)</w:t>
      </w:r>
      <w:r>
        <w:t xml:space="preserve"> </w:t>
      </w:r>
      <w:r>
        <w:t xml:space="preserve">provide the general econometric framework for treating text as data, including the measurement-error and validation issues that any text-derived variable inherits.</w:t>
      </w:r>
      <w:r>
        <w:t xml:space="preserve"> </w:t>
      </w:r>
      <w:r>
        <w:t xml:space="preserve">Dyer et al. (2017)</w:t>
      </w:r>
      <w:r>
        <w:t xml:space="preserve"> </w:t>
      </w:r>
      <w:r>
        <w:t xml:space="preserve">document how 10-K disclosure has lengthened and become more boilerplate over time, a trend that matters for us because repeated boilerplate is the principal source of false-positive</w:t>
      </w:r>
      <w:r>
        <w:t xml:space="preserve"> </w:t>
      </w:r>
      <w:r>
        <w:t xml:space="preserve">“projects”</w:t>
      </w:r>
      <w:r>
        <w:t xml:space="preserve">.</w:t>
      </w:r>
      <w:r>
        <w:t xml:space="preserve"> </w:t>
      </w:r>
      <w:r>
        <w:t xml:space="preserve">Cohen et al. (2020)</w:t>
      </w:r>
      <w:r>
        <w:t xml:space="preserve"> </w:t>
      </w:r>
      <w:r>
        <w:t xml:space="preserve">show that changes in otherwise repetitive filing language carry information, which motivates our emphasis on</w:t>
      </w:r>
      <w:r>
        <w:t xml:space="preserve"> </w:t>
      </w:r>
      <w:r>
        <w:rPr>
          <w:i/>
          <w:iCs/>
        </w:rPr>
        <w:t xml:space="preserve">repeated</w:t>
      </w:r>
      <w:r>
        <w:t xml:space="preserve"> </w:t>
      </w:r>
      <w:r>
        <w:t xml:space="preserve">mentions of the same initiative across filings rather than on single occurrences.</w:t>
      </w:r>
      <w:r>
        <w:t xml:space="preserve"> </w:t>
      </w:r>
      <w:r>
        <w:t xml:space="preserve">Grimmer and Stewart (2013)</w:t>
      </w:r>
      <w:r>
        <w:t xml:space="preserve"> </w:t>
      </w:r>
      <w:r>
        <w:t xml:space="preserve">offer the general methodological warning that automated text measures must be validated against human judgment on the specific task at hand, which is the stance adopted in Section 8.</w:t>
      </w:r>
    </w:p>
    <w:bookmarkEnd w:id="16"/>
    <w:bookmarkStart w:id="17" w:name="X6e3ce2887357623d0d370550d80d3444be8493f"/>
    <w:p>
      <w:pPr>
        <w:pStyle w:val="Heading4"/>
      </w:pPr>
      <w:r>
        <w:t xml:space="preserve">Measuring corporate activity from disclosures.</w:t>
      </w:r>
    </w:p>
    <w:p>
      <w:pPr>
        <w:pStyle w:val="FirstParagraph"/>
      </w:pPr>
      <w:r>
        <w:t xml:space="preserve">Closest to our construct are text-based measures of what firms do rather than how they feel.</w:t>
      </w:r>
      <w:r>
        <w:t xml:space="preserve"> </w:t>
      </w:r>
      <w:r>
        <w:t xml:space="preserve">Hoberg and Phillips (2016)</w:t>
      </w:r>
      <w:r>
        <w:t xml:space="preserve"> </w:t>
      </w:r>
      <w:r>
        <w:t xml:space="preserve">build product-market classifications from 10-K business descriptions;</w:t>
      </w:r>
      <w:r>
        <w:t xml:space="preserve"> </w:t>
      </w:r>
      <w:r>
        <w:t xml:space="preserve">Hoberg and Maksimovic (2015)</w:t>
      </w:r>
      <w:r>
        <w:t xml:space="preserve"> </w:t>
      </w:r>
      <w:r>
        <w:t xml:space="preserve">identify financially constrained firms from the language of the liquidity discussion;</w:t>
      </w:r>
      <w:r>
        <w:t xml:space="preserve"> </w:t>
      </w:r>
      <w:r>
        <w:t xml:space="preserve">Hassan et al. (2019)</w:t>
      </w:r>
      <w:r>
        <w:t xml:space="preserve"> </w:t>
      </w:r>
      <w:r>
        <w:t xml:space="preserve">measure firm-level political risk from the share of earnings-call text devoted to politics;</w:t>
      </w:r>
      <w:r>
        <w:t xml:space="preserve"> </w:t>
      </w:r>
      <w:r>
        <w:t xml:space="preserve">Li et al. (2021)</w:t>
      </w:r>
      <w:r>
        <w:t xml:space="preserve"> </w:t>
      </w:r>
      <w:r>
        <w:t xml:space="preserve">measure corporate culture with word embeddings; and</w:t>
      </w:r>
      <w:r>
        <w:t xml:space="preserve"> </w:t>
      </w:r>
      <w:r>
        <w:t xml:space="preserve">Kelly et al. (2021)</w:t>
      </w:r>
      <w:r>
        <w:t xml:space="preserve"> </w:t>
      </w:r>
      <w:r>
        <w:t xml:space="preserve">and</w:t>
      </w:r>
      <w:r>
        <w:t xml:space="preserve"> </w:t>
      </w:r>
      <w:r>
        <w:t xml:space="preserve">Bloom et al. (2021)</w:t>
      </w:r>
      <w:r>
        <w:t xml:space="preserve"> </w:t>
      </w:r>
      <w:r>
        <w:t xml:space="preserve">track the emergence and diffusion of technologies through patents, calls and job postings. SPID differs from these approaches in its unit of observation. Rather than a firm-level score summarizing the intensity of a theme, it targets</w:t>
      </w:r>
      <w:r>
        <w:t xml:space="preserve"> </w:t>
      </w:r>
      <w:r>
        <w:rPr>
          <w:i/>
          <w:iCs/>
        </w:rPr>
        <w:t xml:space="preserve">discrete initiatives</w:t>
      </w:r>
      <w:r>
        <w:t xml:space="preserve">—objects with a name, a type, a status, cited years, a location, partners and an amount—that can be followed from filing to filing. This is the project-centric view that commercial intelligence products sell, but with open provenance and a documented extraction contract.</w:t>
      </w:r>
    </w:p>
    <w:bookmarkEnd w:id="17"/>
    <w:bookmarkStart w:id="18" w:name="X97190b41c2f3ceaa3da54847e1f0ca1c7c17f1a"/>
    <w:p>
      <w:pPr>
        <w:pStyle w:val="Heading4"/>
      </w:pPr>
      <w:r>
        <w:t xml:space="preserve">Structured information extraction with language models.</w:t>
      </w:r>
    </w:p>
    <w:p>
      <w:pPr>
        <w:pStyle w:val="FirstParagraph"/>
      </w:pPr>
      <w:r>
        <w:t xml:space="preserve">The extraction step relies on an instruction-tuned LLM used in a constrained-output mode: a fixed system prompt, a strict JSON object schema, temperature zero, and an explicit instruction to extract only initiatives grounded in the supplied passage. This design follows the general lesson of the text-as-data literature that the measurement instrument must be fixed, versioned and auditable, and it is deliberately conservative: the model is asked to prefer fewer, concrete projects to many vague ones, to return an empty list when no concrete project is described, and to attach a self-reported confidence. Semantic search over projects uses sentence embeddings</w:t>
      </w:r>
      <w:r>
        <w:t xml:space="preserve"> </w:t>
      </w:r>
      <w:r>
        <w:t xml:space="preserve">(Reimers and Gurevych 2019)</w:t>
      </w:r>
      <w:r>
        <w:t xml:space="preserve">. We make no claim that self-reported confidence is calibrated; its calibration is one of the items of the validation protocol.</w:t>
      </w:r>
    </w:p>
    <w:bookmarkEnd w:id="18"/>
    <w:bookmarkStart w:id="19" w:name="entity-resolution-and-record-linkage."/>
    <w:p>
      <w:pPr>
        <w:pStyle w:val="Heading4"/>
      </w:pPr>
      <w:r>
        <w:t xml:space="preserve">Entity resolution and record linkage.</w:t>
      </w:r>
    </w:p>
    <w:p>
      <w:pPr>
        <w:pStyle w:val="FirstParagraph"/>
      </w:pPr>
      <w:r>
        <w:t xml:space="preserve">Linking repeated mentions of the same initiative across years is a record-linkage problem in the sense of</w:t>
      </w:r>
      <w:r>
        <w:t xml:space="preserve"> </w:t>
      </w:r>
      <w:r>
        <w:t xml:space="preserve">Fellegi and Sunter (1969)</w:t>
      </w:r>
      <w:r>
        <w:t xml:space="preserve">;</w:t>
      </w:r>
      <w:r>
        <w:t xml:space="preserve"> </w:t>
      </w:r>
      <w:r>
        <w:t xml:space="preserve">Christen (2012)</w:t>
      </w:r>
      <w:r>
        <w:t xml:space="preserve"> </w:t>
      </w:r>
      <w:r>
        <w:t xml:space="preserve">reviews the modern toolbox of blocking, comparison and classification. The current SPID resolver is a deterministic blocking rule (issuer, project type and a location or name token) rather than a probabilistic linker. We document its behavior and its failure modes in Section 6, and we treat the migration to an explainable, reversible linkage with human adjudication of ambiguous clusters as part of the validation roadmap.</w:t>
      </w:r>
    </w:p>
    <w:bookmarkEnd w:id="19"/>
    <w:bookmarkStart w:id="20" w:name="infrastructure."/>
    <w:p>
      <w:pPr>
        <w:pStyle w:val="Heading4"/>
      </w:pPr>
      <w:r>
        <w:t xml:space="preserve">Infrastructure.</w:t>
      </w:r>
    </w:p>
    <w:p>
      <w:pPr>
        <w:pStyle w:val="FirstParagraph"/>
      </w:pPr>
      <w:r>
        <w:t xml:space="preserve">The database is implemented as a single analytical file in DuckDB</w:t>
      </w:r>
      <w:r>
        <w:t xml:space="preserve"> </w:t>
      </w:r>
      <w:r>
        <w:t xml:space="preserve">(Raasveldt and Mühleisen 2019)</w:t>
      </w:r>
      <w:r>
        <w:t xml:space="preserve">, with Parquet exports; acquisition respects the SEC’s published fair-access policy</w:t>
      </w:r>
      <w:r>
        <w:t xml:space="preserve"> </w:t>
      </w:r>
      <w:r>
        <w:t xml:space="preserve">(U.S. Securities and Exchange Commission 2024)</w:t>
      </w:r>
      <w:r>
        <w:t xml:space="preserve">, and the Russell 3000 is defined following FTSE Russell’s published construction methodology</w:t>
      </w:r>
      <w:r>
        <w:t xml:space="preserve"> </w:t>
      </w:r>
      <w:r>
        <w:t xml:space="preserve">(FTSE Russell 2026)</w:t>
      </w:r>
      <w:r>
        <w:t xml:space="preserve">, approximated here through a fund-holdings proxy (Section 3).</w:t>
      </w:r>
    </w:p>
    <w:bookmarkEnd w:id="20"/>
    <w:bookmarkEnd w:id="21"/>
    <w:bookmarkStart w:id="28" w:name="X2d6ded7da834595aff4ffc9f64bc05c472fa9a5"/>
    <w:p>
      <w:pPr>
        <w:pStyle w:val="Heading1"/>
      </w:pPr>
      <w:r>
        <w:t xml:space="preserve">3 Sample: Issuer Universe and Filing Coverage</w:t>
      </w:r>
    </w:p>
    <w:bookmarkStart w:id="22" w:name="X66c23fe878ebf514b65179032519167ef326452"/>
    <w:p>
      <w:pPr>
        <w:pStyle w:val="Heading2"/>
      </w:pPr>
      <w:r>
        <w:t xml:space="preserve">3.1 Estimand: current constituents at a snapshot date</w:t>
      </w:r>
    </w:p>
    <w:p>
      <w:pPr>
        <w:pStyle w:val="FirstParagraph"/>
      </w:pPr>
      <w:r>
        <w:t xml:space="preserve">Two different populations can be labeled</w:t>
      </w:r>
      <w:r>
        <w:t xml:space="preserve"> </w:t>
      </w:r>
      <w:r>
        <w:t xml:space="preserve">“the Russell 3000”</w:t>
      </w:r>
      <w:r>
        <w:t xml:space="preserve">. The first is the set of</w:t>
      </w:r>
      <w:r>
        <w:t xml:space="preserve"> </w:t>
      </w:r>
      <w:r>
        <w:rPr>
          <w:i/>
          <w:iCs/>
        </w:rPr>
        <w:t xml:space="preserve">historical point-in-time constituents</w:t>
      </w:r>
      <w:r>
        <w:t xml:space="preserve">: for each date, the companies that FTSE Russell included in the index after its annual reconstitution</w:t>
      </w:r>
      <w:r>
        <w:t xml:space="preserve"> </w:t>
      </w:r>
      <w:r>
        <w:t xml:space="preserve">(FTSE Russell 2026)</w:t>
      </w:r>
      <w:r>
        <w:t xml:space="preserve">. The second is the set of</w:t>
      </w:r>
      <w:r>
        <w:t xml:space="preserve"> </w:t>
      </w:r>
      <w:r>
        <w:rPr>
          <w:i/>
          <w:iCs/>
        </w:rPr>
        <w:t xml:space="preserve">current constituents at a snapshot date</w:t>
      </w:r>
      <w:r>
        <w:t xml:space="preserve">. The two differ because of index entries and exits, mergers, delistings and IPOs; a panel built on the second population is subject to survivorship and backfilling biases that a point-in-time panel is not. SPID targets the second population. No licensed historical constituent list was available to the team at the time of the build, and FTSE Russell does not publish machine-readable membership lists for free. Any inference about the</w:t>
      </w:r>
      <w:r>
        <w:t xml:space="preserve"> </w:t>
      </w:r>
      <w:r>
        <w:t xml:space="preserve">“Russell 3000 over 2010–2026”</w:t>
      </w:r>
      <w:r>
        <w:t xml:space="preserve"> </w:t>
      </w:r>
      <w:r>
        <w:t xml:space="preserve">from this database is therefore an inference about firms that were in the proxy universe in October 2026 and about their filings back to 2010.</w:t>
      </w:r>
    </w:p>
    <w:bookmarkEnd w:id="22"/>
    <w:bookmarkStart w:id="23" w:name="universe-construction-and-reconciliation"/>
    <w:p>
      <w:pPr>
        <w:pStyle w:val="Heading2"/>
      </w:pPr>
      <w:r>
        <w:t xml:space="preserve">3.2 Universe construction and reconciliation</w:t>
      </w:r>
    </w:p>
    <w:p>
      <w:pPr>
        <w:pStyle w:val="FirstParagraph"/>
      </w:pPr>
      <w:r>
        <w:t xml:space="preserve">The issuer universe is frozen in a single JSON artifact,</w:t>
      </w:r>
      <w:r>
        <w:t xml:space="preserve"> </w:t>
      </w:r>
      <w:r>
        <w:rPr>
          <w:rStyle w:val="VerbatimChar"/>
        </w:rPr>
        <w:t xml:space="preserve">data/metadata/universe.json</w:t>
      </w:r>
      <w:r>
        <w:t xml:space="preserve">, built by</w:t>
      </w:r>
      <w:r>
        <w:t xml:space="preserve"> </w:t>
      </w:r>
      <w:r>
        <w:rPr>
          <w:rStyle w:val="VerbatimChar"/>
        </w:rPr>
        <w:t xml:space="preserve">scripts/build_universe.py</w:t>
      </w:r>
      <w:r>
        <w:t xml:space="preserve"> </w:t>
      </w:r>
      <w:r>
        <w:t xml:space="preserve">and documented in</w:t>
      </w:r>
      <w:r>
        <w:t xml:space="preserve"> </w:t>
      </w:r>
      <w:r>
        <w:rPr>
          <w:rStyle w:val="VerbatimChar"/>
        </w:rPr>
        <w:t xml:space="preserve">docs/universe_definition.md</w:t>
      </w:r>
      <w:r>
        <w:t xml:space="preserve">. It merges two sources on the SEC Central Index Key (CIK):</w:t>
      </w:r>
    </w:p>
    <w:p>
      <w:pPr>
        <w:numPr>
          <w:ilvl w:val="0"/>
          <w:numId w:val="1001"/>
        </w:numPr>
      </w:pPr>
      <w:r>
        <w:t xml:space="preserve">the S&amp;P 500 constituent list scraped from the public Wikipedia table on May 25, 2026 (503 rows, 500 distinct CIKs, with GICS sector and sub-industry), used for the first SPID release; and</w:t>
      </w:r>
    </w:p>
    <w:p>
      <w:pPr>
        <w:numPr>
          <w:ilvl w:val="0"/>
          <w:numId w:val="1001"/>
        </w:numPr>
      </w:pPr>
      <w:r>
        <w:t xml:space="preserve">the holdings file of the iShares Russell 3000 ETF (ticker IWV) published by iShares as</w:t>
      </w:r>
      <w:r>
        <w:t xml:space="preserve"> </w:t>
      </w:r>
      <w:r>
        <w:rPr>
          <w:rStyle w:val="VerbatimChar"/>
        </w:rPr>
        <w:t xml:space="preserve">latest-holdings.csv</w:t>
      </w:r>
      <w:r>
        <w:t xml:space="preserve">, with holdings as of October 23, 2026. IWV is an index-tracking fund; its holdings are a close but not exact replica of the index, and the file carries the fund’s own sector labels.</w:t>
      </w:r>
    </w:p>
    <w:p>
      <w:pPr>
        <w:pStyle w:val="FirstParagraph"/>
      </w:pPr>
      <w:r>
        <w:t xml:space="preserve">Tickers are normalized to the SEC convention (share-class separators become hyphens:</w:t>
      </w:r>
      <w:r>
        <w:t xml:space="preserve"> </w:t>
      </w:r>
      <w:r>
        <w:t xml:space="preserve">“BRK B”</w:t>
      </w:r>
      <w:r>
        <w:t xml:space="preserve"> </w:t>
      </w:r>
      <m:oMath>
        <m:r>
          <m:rPr>
            <m:sty m:val="p"/>
          </m:rPr>
          <m:t>→</m:t>
        </m:r>
      </m:oMath>
      <w:r>
        <w:t xml:space="preserve"> </w:t>
      </w:r>
      <w:r>
        <w:rPr>
          <w:rStyle w:val="VerbatimChar"/>
        </w:rPr>
        <w:t xml:space="preserve">BRK-B</w:t>
      </w:r>
      <w:r>
        <w:t xml:space="preserve">) and mapped to CIKs through the SEC’s public</w:t>
      </w:r>
      <w:r>
        <w:t xml:space="preserve"> </w:t>
      </w:r>
      <w:r>
        <w:rPr>
          <w:rStyle w:val="VerbatimChar"/>
        </w:rPr>
        <w:t xml:space="preserve">company_tickers.json</w:t>
      </w:r>
      <w:r>
        <w:t xml:space="preserve">. Lines that are not operating companies (contingent value rights, escrow shares, rights when-issued) and tickers without a CIK (banks that file with the FDIC rather than the SEC) are dropped and listed in the artifact’s</w:t>
      </w:r>
      <w:r>
        <w:t xml:space="preserve"> </w:t>
      </w:r>
      <w:r>
        <w:rPr>
          <w:rStyle w:val="VerbatimChar"/>
        </w:rPr>
        <w:t xml:space="preserve">unmatched</w:t>
      </w:r>
      <w:r>
        <w:t xml:space="preserve"> </w:t>
      </w:r>
      <w:r>
        <w:t xml:space="preserve">field. Table 1 gives the full reconciliation from input securities to issuers with resolved projects.</w:t>
      </w:r>
    </w:p>
    <w:p>
      <w:pPr>
        <w:pStyle w:val="TableCaption"/>
      </w:pPr>
      <w:r>
        <w:t xml:space="preserve">Table 1: Universe-to-dataset reconciliation</w:t>
      </w:r>
    </w:p>
    <w:tbl>
      <w:tblPr>
        <w:tblStyle w:val="Table"/>
        <w:tblW w:type="auto" w:w="0"/>
        <w:tblLook w:firstRow="1" w:lastRow="0" w:firstColumn="0" w:lastColumn="0" w:noHBand="0" w:noVBand="0" w:val="0020"/>
        <w:tblCaption w:val="Table 1: Universe-to-dataset reconciliation"/>
      </w:tblPr>
      <w:tblGrid>
        <w:gridCol w:w="3960"/>
        <w:gridCol w:w="3960"/>
      </w:tblGrid>
      <w:tr>
        <w:trPr>
          <w:tblHeader w:val="on"/>
        </w:trPr>
        <w:tc>
          <w:tcPr/>
          <w:p>
            <w:pPr>
              <w:pStyle w:val="Compact"/>
              <w:jc w:val="left"/>
            </w:pPr>
            <w:r>
              <w:t xml:space="preserve">Step</w:t>
            </w:r>
          </w:p>
        </w:tc>
        <w:tc>
          <w:tcPr/>
          <w:p>
            <w:pPr>
              <w:pStyle w:val="Compact"/>
              <w:jc w:val="right"/>
            </w:pPr>
            <w:r>
              <w:t xml:space="preserve">Count</w:t>
            </w:r>
          </w:p>
        </w:tc>
      </w:tr>
      <w:tr>
        <w:tc>
          <w:tcPr/>
          <w:p>
            <w:pPr>
              <w:pStyle w:val="Compact"/>
              <w:jc w:val="left"/>
            </w:pPr>
            <w:r>
              <w:t xml:space="preserve">iShares IWV holdings file, equity lines with a ticker (as of Oct 23, 2026)</w:t>
            </w:r>
          </w:p>
        </w:tc>
        <w:tc>
          <w:tcPr/>
          <w:p>
            <w:pPr>
              <w:pStyle w:val="Compact"/>
              <w:jc w:val="right"/>
            </w:pPr>
            <w:r>
              <w:t xml:space="preserve">2</w:t>
            </w:r>
            <w:r>
              <w:t xml:space="preserve">,</w:t>
            </w:r>
            <w:r>
              <w:t xml:space="preserve">587</w:t>
            </w:r>
          </w:p>
        </w:tc>
      </w:tr>
      <w:tr>
        <w:tc>
          <w:tcPr/>
          <w:p>
            <w:pPr>
              <w:pStyle w:val="Compact"/>
              <w:jc w:val="left"/>
            </w:pPr>
            <w:r>
              <w:t xml:space="preserve">of which mapped to an SEC CIK (CVRs, escrow lines and FDIC-only banks excluded)</w:t>
            </w:r>
          </w:p>
        </w:tc>
        <w:tc>
          <w:tcPr/>
          <w:p>
            <w:pPr>
              <w:pStyle w:val="Compact"/>
              <w:jc w:val="right"/>
            </w:pPr>
            <w:r>
              <w:t xml:space="preserve">2</w:t>
            </w:r>
            <w:r>
              <w:t xml:space="preserve">,</w:t>
            </w:r>
            <w:r>
              <w:t xml:space="preserve">573</w:t>
            </w:r>
          </w:p>
        </w:tc>
      </w:tr>
      <w:tr>
        <w:tc>
          <w:tcPr/>
          <w:p>
            <w:pPr>
              <w:pStyle w:val="Compact"/>
              <w:jc w:val="left"/>
            </w:pPr>
            <w:r>
              <w:t xml:space="preserve">distinct CIKs (share classes collapsed)</w:t>
            </w:r>
          </w:p>
        </w:tc>
        <w:tc>
          <w:tcPr/>
          <w:p>
            <w:pPr>
              <w:pStyle w:val="Compact"/>
              <w:jc w:val="right"/>
            </w:pPr>
            <w:r>
              <w:t xml:space="preserve">2</w:t>
            </w:r>
            <w:r>
              <w:t xml:space="preserve">,</w:t>
            </w:r>
            <w:r>
              <w:t xml:space="preserve">555</w:t>
            </w:r>
          </w:p>
        </w:tc>
      </w:tr>
      <w:tr>
        <w:tc>
          <w:tcPr/>
          <w:p>
            <w:pPr>
              <w:pStyle w:val="Compact"/>
              <w:jc w:val="left"/>
            </w:pPr>
            <w:r>
              <w:t xml:space="preserve">S&amp;P 500 constituents, cached snapshot of 2026-05-25 (500 CIKs)</w:t>
            </w:r>
          </w:p>
        </w:tc>
        <w:tc>
          <w:tcPr/>
          <w:p>
            <w:pPr>
              <w:pStyle w:val="Compact"/>
              <w:jc w:val="right"/>
            </w:pPr>
            <w:r>
              <w:t xml:space="preserve">503</w:t>
            </w:r>
          </w:p>
        </w:tc>
      </w:tr>
      <w:tr>
        <w:tc>
          <w:tcPr/>
          <w:p>
            <w:pPr>
              <w:pStyle w:val="Compact"/>
              <w:jc w:val="left"/>
            </w:pPr>
            <w:r>
              <w:t xml:space="preserve">Merged issuer universe (distinct CIKs)</w:t>
            </w:r>
          </w:p>
        </w:tc>
        <w:tc>
          <w:tcPr/>
          <w:p>
            <w:pPr>
              <w:pStyle w:val="Compact"/>
              <w:jc w:val="right"/>
            </w:pPr>
            <w:r>
              <w:t xml:space="preserve">2</w:t>
            </w:r>
            <w:r>
              <w:t xml:space="preserve">,</w:t>
            </w:r>
            <w:r>
              <w:t xml:space="preserve">564</w:t>
            </w:r>
          </w:p>
        </w:tc>
      </w:tr>
      <w:tr>
        <w:tc>
          <w:tcPr/>
          <w:p>
            <w:pPr>
              <w:pStyle w:val="Compact"/>
              <w:jc w:val="left"/>
            </w:pPr>
            <w:r>
              <w:t xml:space="preserve">in both lists</w:t>
            </w:r>
          </w:p>
        </w:tc>
        <w:tc>
          <w:tcPr/>
          <w:p>
            <w:pPr>
              <w:pStyle w:val="Compact"/>
              <w:jc w:val="right"/>
            </w:pPr>
            <w:r>
              <w:t xml:space="preserve">491</w:t>
            </w:r>
          </w:p>
        </w:tc>
      </w:tr>
      <w:tr>
        <w:tc>
          <w:tcPr/>
          <w:p>
            <w:pPr>
              <w:pStyle w:val="Compact"/>
              <w:jc w:val="left"/>
            </w:pPr>
            <w:r>
              <w:t xml:space="preserve">S&amp;P 500 only</w:t>
            </w:r>
          </w:p>
        </w:tc>
        <w:tc>
          <w:tcPr/>
          <w:p>
            <w:pPr>
              <w:pStyle w:val="Compact"/>
              <w:jc w:val="right"/>
            </w:pPr>
            <w:r>
              <w:t xml:space="preserve">9</w:t>
            </w:r>
          </w:p>
        </w:tc>
      </w:tr>
      <w:tr>
        <w:tc>
          <w:tcPr/>
          <w:p>
            <w:pPr>
              <w:pStyle w:val="Compact"/>
              <w:jc w:val="left"/>
            </w:pPr>
            <w:r>
              <w:t xml:space="preserve">Russell proxy only</w:t>
            </w:r>
          </w:p>
        </w:tc>
        <w:tc>
          <w:tcPr/>
          <w:p>
            <w:pPr>
              <w:pStyle w:val="Compact"/>
              <w:jc w:val="right"/>
            </w:pPr>
            <w:r>
              <w:t xml:space="preserve">2</w:t>
            </w:r>
            <w:r>
              <w:t xml:space="preserve">,</w:t>
            </w:r>
            <w:r>
              <w:t xml:space="preserve">064</w:t>
            </w:r>
          </w:p>
        </w:tc>
      </w:tr>
      <w:tr>
        <w:tc>
          <w:tcPr/>
          <w:p>
            <w:pPr>
              <w:pStyle w:val="Compact"/>
              <w:jc w:val="left"/>
            </w:pPr>
            <w:r>
              <w:t xml:space="preserve">Issuers with at least one 10-K, 10-Q or 8-K since 2010</w:t>
            </w:r>
          </w:p>
        </w:tc>
        <w:tc>
          <w:tcPr/>
          <w:p>
            <w:pPr>
              <w:pStyle w:val="Compact"/>
              <w:jc w:val="right"/>
            </w:pPr>
            <w:r>
              <w:t xml:space="preserve">2</w:t>
            </w:r>
            <w:r>
              <w:t xml:space="preserve">,</w:t>
            </w:r>
            <w:r>
              <w:t xml:space="preserve">499</w:t>
            </w:r>
          </w:p>
        </w:tc>
      </w:tr>
      <w:tr>
        <w:tc>
          <w:tcPr/>
          <w:p>
            <w:pPr>
              <w:pStyle w:val="Compact"/>
              <w:jc w:val="left"/>
            </w:pPr>
            <w:r>
              <w:t xml:space="preserve">Issuers without any such filing (foreign private issuers filing 20-F/40-F, FDIC-only banks)</w:t>
            </w:r>
          </w:p>
        </w:tc>
        <w:tc>
          <w:tcPr/>
          <w:p>
            <w:pPr>
              <w:pStyle w:val="Compact"/>
              <w:jc w:val="right"/>
            </w:pPr>
            <w:r>
              <w:t xml:space="preserve">65</w:t>
            </w:r>
          </w:p>
        </w:tc>
      </w:tr>
      <w:tr>
        <w:tc>
          <w:tcPr/>
          <w:p>
            <w:pPr>
              <w:pStyle w:val="Compact"/>
              <w:jc w:val="left"/>
            </w:pPr>
            <w:r>
              <w:t xml:space="preserve">Issuers with at least one resolved project</w:t>
            </w:r>
          </w:p>
        </w:tc>
        <w:tc>
          <w:tcPr/>
          <w:p>
            <w:pPr>
              <w:pStyle w:val="Compact"/>
              <w:jc w:val="right"/>
            </w:pPr>
            <w:r>
              <w:t xml:space="preserve">2</w:t>
            </w:r>
            <w:r>
              <w:t xml:space="preserve">,</w:t>
            </w:r>
            <w:r>
              <w:t xml:space="preserve">492</w:t>
            </w:r>
          </w:p>
        </w:tc>
      </w:tr>
    </w:tbl>
    <w:p>
      <w:pPr>
        <w:pStyle w:val="BodyText"/>
      </w:pPr>
      <w:r>
        <w:rPr>
          <w:i/>
          <w:iCs/>
        </w:rPr>
        <w:t xml:space="preserve">Notes:</w:t>
      </w:r>
      <w:r>
        <w:t xml:space="preserve"> </w:t>
      </w:r>
      <w:r>
        <w:t xml:space="preserve">Source:</w:t>
      </w:r>
      <w:r>
        <w:t xml:space="preserve"> </w:t>
      </w:r>
      <w:r>
        <w:rPr>
          <w:rStyle w:val="VerbatimChar"/>
        </w:rPr>
        <w:t xml:space="preserve">data/metadata/universe.json</w:t>
      </w:r>
      <w:r>
        <w:t xml:space="preserve">,</w:t>
      </w:r>
      <w:r>
        <w:t xml:space="preserve"> </w:t>
      </w:r>
      <w:r>
        <w:rPr>
          <w:rStyle w:val="VerbatimChar"/>
        </w:rPr>
        <w:t xml:space="preserve">russell3000_constituents.json</w:t>
      </w:r>
      <w:r>
        <w:t xml:space="preserve">,</w:t>
      </w:r>
      <w:r>
        <w:t xml:space="preserve"> </w:t>
      </w:r>
      <w:r>
        <w:rPr>
          <w:rStyle w:val="VerbatimChar"/>
        </w:rPr>
        <w:t xml:space="preserve">sp500_constituents.json</w:t>
      </w:r>
      <w:r>
        <w:t xml:space="preserve"> </w:t>
      </w:r>
      <w:r>
        <w:t xml:space="preserve">and the merged DuckDB database. The 65 issuers without filings are listed in</w:t>
      </w:r>
      <w:r>
        <w:t xml:space="preserve"> </w:t>
      </w:r>
      <w:r>
        <w:rPr>
          <w:rStyle w:val="VerbatimChar"/>
        </w:rPr>
        <w:t xml:space="preserve">data/issuers_without_filings.csv</w:t>
      </w:r>
      <w:r>
        <w:t xml:space="preserve">; most are foreign private issuers (e.g., Spotify, QIAGEN, Canadian Solar, Amdocs) that file annual reports on Form 20-F or 40-F, which are outside the current form scope, plus a few banks whose periodic reports are filed with the FDIC. Seven issuers have filings but no resolved project.</w:t>
      </w:r>
    </w:p>
    <w:p>
      <w:pPr>
        <w:pStyle w:val="BodyText"/>
      </w:pPr>
      <w:r>
        <w:t xml:space="preserve">Several design decisions deserve to be stated plainly. The proxy universe counts</w:t>
      </w:r>
      <w:r>
        <w:t xml:space="preserve"> </w:t>
      </w:r>
      <w:r>
        <w:rPr>
          <w:i/>
          <w:iCs/>
        </w:rPr>
        <w:t xml:space="preserve">issuers</w:t>
      </w:r>
      <w:r>
        <w:t xml:space="preserve">, not securities: two share classes of the same registrant collapse into one CIK (2</w:t>
      </w:r>
      <w:r>
        <w:t xml:space="preserve">,</w:t>
      </w:r>
      <w:r>
        <w:t xml:space="preserve">587 equity lines map to 2</w:t>
      </w:r>
      <w:r>
        <w:t xml:space="preserve">,</w:t>
      </w:r>
      <w:r>
        <w:t xml:space="preserve">555 CIKs). Companies in the S&amp;P 500 snapshot but no longer in the IWV file (nine issuers, typically recently acquired) are retained with an</w:t>
      </w:r>
      <w:r>
        <w:t xml:space="preserve"> </w:t>
      </w:r>
      <w:r>
        <w:rPr>
          <w:rStyle w:val="VerbatimChar"/>
        </w:rPr>
        <w:t xml:space="preserve">in_sp500</w:t>
      </w:r>
      <w:r>
        <w:t xml:space="preserve"> </w:t>
      </w:r>
      <w:r>
        <w:t xml:space="preserve">flag so that the June 2026 release remains a subset. The universe table records, for each issuer, the SEC name, SIC code and description, state of incorporation, exchange and fiscal-year end from the SEC submissions header, the fund weight, and the cluster node that processed its filings (</w:t>
      </w:r>
      <w:r>
        <w:rPr>
          <w:rStyle w:val="VerbatimChar"/>
        </w:rPr>
        <w:t xml:space="preserve">shard_node</w:t>
      </w:r>
      <w:r>
        <w:t xml:space="preserve">). The brief’s recommendation of a</w:t>
      </w:r>
      <w:r>
        <w:t xml:space="preserve"> </w:t>
      </w:r>
      <w:r>
        <w:rPr>
          <w:rStyle w:val="VerbatimChar"/>
        </w:rPr>
        <w:t xml:space="preserve">universe_snapshots</w:t>
      </w:r>
      <w:r>
        <w:t xml:space="preserve"> </w:t>
      </w:r>
      <w:r>
        <w:t xml:space="preserve">table with source checksums, membership dates and match confidence is only partially met: snapshot date, source URL and match method are recorded; file hashes and per-row match confidence are not yet stored and are listed as open items in the implementation audit (</w:t>
      </w:r>
      <w:r>
        <w:rPr>
          <w:rStyle w:val="VerbatimChar"/>
        </w:rPr>
        <w:t xml:space="preserve">docs/implementation_audit.md</w:t>
      </w:r>
      <w:r>
        <w:t xml:space="preserve">).</w:t>
      </w:r>
    </w:p>
    <w:bookmarkEnd w:id="23"/>
    <w:bookmarkStart w:id="27" w:name="filing-scope"/>
    <w:p>
      <w:pPr>
        <w:pStyle w:val="Heading2"/>
      </w:pPr>
      <w:r>
        <w:t xml:space="preserve">3.3 Filing scope</w:t>
      </w:r>
    </w:p>
    <w:p>
      <w:pPr>
        <w:pStyle w:val="FirstParagraph"/>
      </w:pPr>
      <w:r>
        <w:t xml:space="preserve">For every issuer the pipeline enumerates the SEC submissions index (</w:t>
      </w:r>
      <w:r>
        <w:rPr>
          <w:rStyle w:val="VerbatimChar"/>
        </w:rPr>
        <w:t xml:space="preserve">data.sec.gov/</w:t>
      </w:r>
      <w:r>
        <w:rPr>
          <w:rStyle w:val="VerbatimChar"/>
        </w:rPr>
        <w:t xml:space="preserve">submissions/</w:t>
      </w:r>
      <w:r>
        <w:rPr>
          <w:rStyle w:val="VerbatimChar"/>
        </w:rPr>
        <w:t xml:space="preserve">CIK{cik}.json</w:t>
      </w:r>
      <w:r>
        <w:t xml:space="preserve">, including the paginated archive blocks) and retains the primary document of every Form 10-K, 10-Q and 8-K filed on or after January 1, 2010. Amendments (</w:t>
      </w:r>
      <w:r>
        <w:rPr>
          <w:rStyle w:val="VerbatimChar"/>
        </w:rPr>
        <w:t xml:space="preserve">/A</w:t>
      </w:r>
      <w:r>
        <w:t xml:space="preserve">), exhibits other than the primary document, proxy statements, registration statements and foreign-issuer forms are out of scope. The choice reflects where strategic initiatives are described in prose—Items 1, 1A, 2, 7 and 7A of the 10-K, the MD&amp;A and risk-factor items of the 10-Q, and the body of the 8-K—and it is a defensible but not innocuous restriction: press releases attached as Exhibit 99 to an 8-K, which often carry the first and most detailed announcement of a project, are not read when they are not the primary document. Testing whether this scope omits important announcements is part of the validation roadmap.</w:t>
      </w:r>
    </w:p>
    <w:p>
      <w:pPr>
        <w:pStyle w:val="TableCaption"/>
      </w:pPr>
      <w:r>
        <w:t xml:space="preserve">Table 2: Filings in the corpus, by form</w:t>
      </w:r>
    </w:p>
    <w:tbl>
      <w:tblPr>
        <w:tblStyle w:val="Table"/>
        <w:tblW w:type="auto" w:w="0"/>
        <w:tblLook w:firstRow="1" w:lastRow="0" w:firstColumn="0" w:lastColumn="0" w:noHBand="0" w:noVBand="0" w:val="0020"/>
        <w:tblCaption w:val="Table 2: Filings in the corpus, by form"/>
      </w:tblPr>
      <w:tblGrid>
        <w:gridCol w:w="1320"/>
        <w:gridCol w:w="1320"/>
        <w:gridCol w:w="1320"/>
        <w:gridCol w:w="1320"/>
        <w:gridCol w:w="1320"/>
        <w:gridCol w:w="1320"/>
      </w:tblGrid>
      <w:tr>
        <w:trPr>
          <w:tblHeader w:val="on"/>
        </w:trPr>
        <w:tc>
          <w:tcPr/>
          <w:p>
            <w:pPr>
              <w:pStyle w:val="Compact"/>
              <w:jc w:val="left"/>
            </w:pPr>
            <w:r>
              <w:t xml:space="preserve">Form</w:t>
            </w:r>
          </w:p>
        </w:tc>
        <w:tc>
          <w:tcPr/>
          <w:p>
            <w:pPr>
              <w:pStyle w:val="Compact"/>
              <w:jc w:val="right"/>
            </w:pPr>
            <w:r>
              <w:t xml:space="preserve">Filings</w:t>
            </w:r>
          </w:p>
        </w:tc>
        <w:tc>
          <w:tcPr/>
          <w:p>
            <w:pPr>
              <w:pStyle w:val="Compact"/>
              <w:jc w:val="right"/>
            </w:pPr>
            <w:r>
              <w:t xml:space="preserve">First filing</w:t>
            </w:r>
          </w:p>
        </w:tc>
        <w:tc>
          <w:tcPr/>
          <w:p>
            <w:pPr>
              <w:pStyle w:val="Compact"/>
              <w:jc w:val="right"/>
            </w:pPr>
            <w:r>
              <w:t xml:space="preserve">Last filing</w:t>
            </w:r>
          </w:p>
        </w:tc>
        <w:tc>
          <w:tcPr/>
          <w:p>
            <w:pPr>
              <w:pStyle w:val="Compact"/>
              <w:jc w:val="right"/>
            </w:pPr>
            <w:r>
              <w:t xml:space="preserve">Raw HTML (GB)</w:t>
            </w:r>
          </w:p>
        </w:tc>
        <w:tc>
          <w:tcPr/>
          <w:p>
            <w:pPr>
              <w:pStyle w:val="Compact"/>
              <w:jc w:val="right"/>
            </w:pPr>
            <w:r>
              <w:t xml:space="preserve">Not parsed</w:t>
            </w:r>
          </w:p>
        </w:tc>
      </w:tr>
      <w:tr>
        <w:tc>
          <w:tcPr/>
          <w:p>
            <w:pPr>
              <w:pStyle w:val="Compact"/>
              <w:jc w:val="left"/>
            </w:pPr>
            <w:r>
              <w:t xml:space="preserve">10-K</w:t>
            </w:r>
          </w:p>
        </w:tc>
        <w:tc>
          <w:tcPr/>
          <w:p>
            <w:pPr>
              <w:pStyle w:val="Compact"/>
              <w:jc w:val="right"/>
            </w:pPr>
            <w:r>
              <w:t xml:space="preserve">31</w:t>
            </w:r>
            <w:r>
              <w:t xml:space="preserve">,</w:t>
            </w:r>
            <w:r>
              <w:t xml:space="preserve">775</w:t>
            </w:r>
          </w:p>
        </w:tc>
        <w:tc>
          <w:tcPr/>
          <w:p>
            <w:pPr>
              <w:pStyle w:val="Compact"/>
              <w:jc w:val="right"/>
            </w:pPr>
            <w:r>
              <w:t xml:space="preserve">2010-01-08</w:t>
            </w:r>
          </w:p>
        </w:tc>
        <w:tc>
          <w:tcPr/>
          <w:p>
            <w:pPr>
              <w:pStyle w:val="Compact"/>
              <w:jc w:val="right"/>
            </w:pPr>
            <w:r>
              <w:t xml:space="preserve">2026-10-27</w:t>
            </w:r>
          </w:p>
        </w:tc>
        <w:tc>
          <w:tcPr/>
          <w:p>
            <w:pPr>
              <w:pStyle w:val="Compact"/>
              <w:jc w:val="right"/>
            </w:pPr>
            <w:r>
              <w:t xml:space="preserve">88.6</w:t>
            </w:r>
          </w:p>
        </w:tc>
        <w:tc>
          <w:tcPr/>
          <w:p>
            <w:pPr>
              <w:pStyle w:val="Compact"/>
              <w:jc w:val="right"/>
            </w:pPr>
            <w:r>
              <w:t xml:space="preserve">3</w:t>
            </w:r>
          </w:p>
        </w:tc>
      </w:tr>
      <w:tr>
        <w:tc>
          <w:tcPr/>
          <w:p>
            <w:pPr>
              <w:pStyle w:val="Compact"/>
              <w:jc w:val="left"/>
            </w:pPr>
            <w:r>
              <w:t xml:space="preserve">10-Q</w:t>
            </w:r>
          </w:p>
        </w:tc>
        <w:tc>
          <w:tcPr/>
          <w:p>
            <w:pPr>
              <w:pStyle w:val="Compact"/>
              <w:jc w:val="right"/>
            </w:pPr>
            <w:r>
              <w:t xml:space="preserve">95</w:t>
            </w:r>
            <w:r>
              <w:t xml:space="preserve">,</w:t>
            </w:r>
            <w:r>
              <w:t xml:space="preserve">167</w:t>
            </w:r>
          </w:p>
        </w:tc>
        <w:tc>
          <w:tcPr/>
          <w:p>
            <w:pPr>
              <w:pStyle w:val="Compact"/>
              <w:jc w:val="right"/>
            </w:pPr>
            <w:r>
              <w:t xml:space="preserve">2010-01-05</w:t>
            </w:r>
          </w:p>
        </w:tc>
        <w:tc>
          <w:tcPr/>
          <w:p>
            <w:pPr>
              <w:pStyle w:val="Compact"/>
              <w:jc w:val="right"/>
            </w:pPr>
            <w:r>
              <w:t xml:space="preserve">2026-10-27</w:t>
            </w:r>
          </w:p>
        </w:tc>
        <w:tc>
          <w:tcPr/>
          <w:p>
            <w:pPr>
              <w:pStyle w:val="Compact"/>
              <w:jc w:val="right"/>
            </w:pPr>
            <w:r>
              <w:t xml:space="preserve">155.9</w:t>
            </w:r>
          </w:p>
        </w:tc>
        <w:tc>
          <w:tcPr/>
          <w:p>
            <w:pPr>
              <w:pStyle w:val="Compact"/>
              <w:jc w:val="right"/>
            </w:pPr>
            <w:r>
              <w:t xml:space="preserve">12</w:t>
            </w:r>
          </w:p>
        </w:tc>
      </w:tr>
      <w:tr>
        <w:tc>
          <w:tcPr/>
          <w:p>
            <w:pPr>
              <w:pStyle w:val="Compact"/>
              <w:jc w:val="left"/>
            </w:pPr>
            <w:r>
              <w:t xml:space="preserve">8-K</w:t>
            </w:r>
          </w:p>
        </w:tc>
        <w:tc>
          <w:tcPr/>
          <w:p>
            <w:pPr>
              <w:pStyle w:val="Compact"/>
              <w:jc w:val="right"/>
            </w:pPr>
            <w:r>
              <w:t xml:space="preserve">400</w:t>
            </w:r>
            <w:r>
              <w:t xml:space="preserve">,</w:t>
            </w:r>
            <w:r>
              <w:t xml:space="preserve">606</w:t>
            </w:r>
          </w:p>
        </w:tc>
        <w:tc>
          <w:tcPr/>
          <w:p>
            <w:pPr>
              <w:pStyle w:val="Compact"/>
              <w:jc w:val="right"/>
            </w:pPr>
            <w:r>
              <w:t xml:space="preserve">2010-01-04</w:t>
            </w:r>
          </w:p>
        </w:tc>
        <w:tc>
          <w:tcPr/>
          <w:p>
            <w:pPr>
              <w:pStyle w:val="Compact"/>
              <w:jc w:val="right"/>
            </w:pPr>
            <w:r>
              <w:t xml:space="preserve">2026-10-27</w:t>
            </w:r>
          </w:p>
        </w:tc>
        <w:tc>
          <w:tcPr/>
          <w:p>
            <w:pPr>
              <w:pStyle w:val="Compact"/>
              <w:jc w:val="right"/>
            </w:pPr>
            <w:r>
              <w:t xml:space="preserve">10.0</w:t>
            </w:r>
          </w:p>
        </w:tc>
        <w:tc>
          <w:tcPr/>
          <w:p>
            <w:pPr>
              <w:pStyle w:val="Compact"/>
              <w:jc w:val="right"/>
            </w:pPr>
            <w:r>
              <w:t xml:space="preserve">1</w:t>
            </w:r>
          </w:p>
        </w:tc>
      </w:tr>
      <w:tr>
        <w:tc>
          <w:tcPr/>
          <w:p>
            <w:pPr>
              <w:pStyle w:val="Compact"/>
              <w:jc w:val="left"/>
            </w:pPr>
            <w:r>
              <w:t xml:space="preserve">Total</w:t>
            </w:r>
          </w:p>
        </w:tc>
        <w:tc>
          <w:tcPr/>
          <w:p>
            <w:pPr>
              <w:pStyle w:val="Compact"/>
              <w:jc w:val="right"/>
            </w:pPr>
            <w:r>
              <w:t xml:space="preserve">527</w:t>
            </w:r>
            <w:r>
              <w:t xml:space="preserve">,</w:t>
            </w:r>
            <w:r>
              <w:t xml:space="preserve">548</w:t>
            </w:r>
          </w:p>
        </w:tc>
        <w:tc>
          <w:tcPr/>
          <w:p>
            <w:pPr>
              <w:pStyle w:val="Compact"/>
              <w:jc w:val="right"/>
            </w:pPr>
            <w:r>
              <w:t xml:space="preserve">2010-01-04</w:t>
            </w:r>
          </w:p>
        </w:tc>
        <w:tc>
          <w:tcPr/>
          <w:p>
            <w:pPr>
              <w:pStyle w:val="Compact"/>
              <w:jc w:val="right"/>
            </w:pPr>
            <w:r>
              <w:t xml:space="preserve">2026-10-27</w:t>
            </w:r>
          </w:p>
        </w:tc>
        <w:tc>
          <w:tcPr/>
          <w:p>
            <w:pPr>
              <w:pStyle w:val="Compact"/>
              <w:jc w:val="right"/>
            </w:pPr>
            <w:r>
              <w:t xml:space="preserve">254.5</w:t>
            </w:r>
          </w:p>
        </w:tc>
        <w:tc>
          <w:tcPr/>
          <w:p>
            <w:pPr>
              <w:pStyle w:val="Compact"/>
              <w:jc w:val="right"/>
            </w:pPr>
            <w:r>
              <w:t xml:space="preserve">16</w:t>
            </w:r>
          </w:p>
        </w:tc>
      </w:tr>
    </w:tbl>
    <w:p>
      <w:pPr>
        <w:pStyle w:val="BodyText"/>
      </w:pPr>
      <w:r>
        <w:rPr>
          <w:i/>
          <w:iCs/>
        </w:rPr>
        <w:t xml:space="preserve">Notes:</w:t>
      </w:r>
      <w:r>
        <w:t xml:space="preserve"> </w:t>
      </w:r>
      <w:r>
        <w:t xml:space="preserve">“Not parsed”</w:t>
      </w:r>
      <w:r>
        <w:t xml:space="preserve"> </w:t>
      </w:r>
      <w:r>
        <w:t xml:space="preserve">counts filings whose primary document could not be cleaned (parser error) or was not found on disk after download. Raw HTML size is the sum of primary-document sizes recorded at download time.</w:t>
      </w:r>
    </w:p>
    <w:p>
      <w:pPr>
        <w:pStyle w:val="BodyText"/>
      </w:pPr>
      <w:r>
        <w:t xml:space="preserve">Table 2 summarizes the corpus: 527</w:t>
      </w:r>
      <w:r>
        <w:t xml:space="preserve">,</w:t>
      </w:r>
      <w:r>
        <w:t xml:space="preserve">548 primary documents, 254.5 GB of raw HTML, of which only 16 documents (0.003%) failed parsing. Figure 1 and Table 14 in the appendix show the coverage by year. The number of issuers with at least one filing rises from 1</w:t>
      </w:r>
      <w:r>
        <w:t xml:space="preserve">,</w:t>
      </w:r>
      <w:r>
        <w:t xml:space="preserve">392 in 2010 to 2</w:t>
      </w:r>
      <w:r>
        <w:t xml:space="preserve">,</w:t>
      </w:r>
      <w:r>
        <w:t xml:space="preserve">498 in 2026: the snapshot universe contains many companies that went public after 2010, so the early years of the panel are populated by the older and larger survivors. This is the concrete form taken by the survivorship caveat above.</w:t>
      </w:r>
    </w:p>
    <w:p>
      <w:pPr>
        <w:pStyle w:val="CaptionedFigure"/>
      </w:pPr>
      <w:r>
        <w:drawing>
          <wp:inline>
            <wp:extent cx="5334000" cy="2518833"/>
            <wp:effectExtent b="0" l="0" r="0" t="0"/>
            <wp:docPr descr="" title="" id="25" name="Picture"/>
            <a:graphic>
              <a:graphicData uri="http://schemas.openxmlformats.org/drawingml/2006/picture">
                <pic:pic>
                  <pic:nvPicPr>
                    <pic:cNvPr descr="figures/fig_coverage.png" id="26" name="Picture"/>
                    <pic:cNvPicPr>
                      <a:picLocks noChangeArrowheads="1" noChangeAspect="1"/>
                    </pic:cNvPicPr>
                  </pic:nvPicPr>
                  <pic:blipFill>
                    <a:blip r:embed="rId24"/>
                    <a:stretch>
                      <a:fillRect/>
                    </a:stretch>
                  </pic:blipFill>
                  <pic:spPr bwMode="auto">
                    <a:xfrm>
                      <a:off x="0" y="0"/>
                      <a:ext cx="5334000" cy="2518833"/>
                    </a:xfrm>
                    <a:prstGeom prst="rect">
                      <a:avLst/>
                    </a:prstGeom>
                    <a:noFill/>
                    <a:ln w="9525">
                      <a:noFill/>
                      <a:headEnd/>
                      <a:tailEnd/>
                    </a:ln>
                  </pic:spPr>
                </pic:pic>
              </a:graphicData>
            </a:graphic>
          </wp:inline>
        </w:drawing>
      </w:r>
    </w:p>
    <w:p>
      <w:pPr>
        <w:pStyle w:val="ImageCaption"/>
      </w:pPr>
      <w:r>
        <w:t xml:space="preserve">Figure 1: Filings and issuers per year in the corpus. The 2026 bar covers January 1 to October 27, 2026. Issuers that went public after 2010 enter the panel at their first filing, so the number of observed issuers increases mechanically over time under the snapshot design.</w:t>
      </w:r>
    </w:p>
    <w:bookmarkEnd w:id="27"/>
    <w:bookmarkEnd w:id="28"/>
    <w:bookmarkStart w:id="37" w:name="Xcf04c64d432237654f3be453dfa190211ab6618"/>
    <w:p>
      <w:pPr>
        <w:pStyle w:val="Heading1"/>
      </w:pPr>
      <w:r>
        <w:t xml:space="preserve">4 Architecture: Acquisition, Parsing and the Distributed Build</w:t>
      </w:r>
    </w:p>
    <w:bookmarkStart w:id="32" w:name="overview"/>
    <w:p>
      <w:pPr>
        <w:pStyle w:val="Heading2"/>
      </w:pPr>
      <w:r>
        <w:t xml:space="preserve">4.1 Overview</w:t>
      </w:r>
    </w:p>
    <w:p>
      <w:pPr>
        <w:pStyle w:val="FirstParagraph"/>
      </w:pPr>
      <w:r>
        <w:t xml:space="preserve">Figure 2 summarizes the pipeline. Two layers are distinguished throughout. The</w:t>
      </w:r>
      <w:r>
        <w:t xml:space="preserve"> </w:t>
      </w:r>
      <w:r>
        <w:rPr>
          <w:i/>
          <w:iCs/>
        </w:rPr>
        <w:t xml:space="preserve">corpus layer</w:t>
      </w:r>
      <w:r>
        <w:t xml:space="preserve"> </w:t>
      </w:r>
      <w:r>
        <w:t xml:space="preserve">(code in</w:t>
      </w:r>
      <w:r>
        <w:t xml:space="preserve"> </w:t>
      </w:r>
      <w:r>
        <w:rPr>
          <w:rStyle w:val="VerbatimChar"/>
        </w:rPr>
        <w:t xml:space="preserve">src/</w:t>
      </w:r>
      <w:r>
        <w:t xml:space="preserve"> </w:t>
      </w:r>
      <w:r>
        <w:t xml:space="preserve">and</w:t>
      </w:r>
      <w:r>
        <w:t xml:space="preserve"> </w:t>
      </w:r>
      <w:r>
        <w:rPr>
          <w:rStyle w:val="VerbatimChar"/>
        </w:rPr>
        <w:t xml:space="preserve">scripts/</w:t>
      </w:r>
      <w:r>
        <w:t xml:space="preserve">) acquires and parses filings, chunks them, embeds the chunks and computes thematic factor scores; it is universe-agnostic and produces a DuckDB database (</w:t>
      </w:r>
      <w:r>
        <w:rPr>
          <w:rStyle w:val="VerbatimChar"/>
        </w:rPr>
        <w:t xml:space="preserve">edgar_research.duckdb</w:t>
      </w:r>
      <w:r>
        <w:t xml:space="preserve">, 68 GB) plus Parquet exports. The</w:t>
      </w:r>
      <w:r>
        <w:t xml:space="preserve"> </w:t>
      </w:r>
      <w:r>
        <w:rPr>
          <w:i/>
          <w:iCs/>
        </w:rPr>
        <w:t xml:space="preserve">project layer</w:t>
      </w:r>
      <w:r>
        <w:t xml:space="preserve"> </w:t>
      </w:r>
      <w:r>
        <w:t xml:space="preserve">(code in</w:t>
      </w:r>
      <w:r>
        <w:t xml:space="preserve"> </w:t>
      </w:r>
      <w:r>
        <w:rPr>
          <w:rStyle w:val="VerbatimChar"/>
        </w:rPr>
        <w:t xml:space="preserve">project-db/spid/</w:t>
      </w:r>
      <w:r>
        <w:t xml:space="preserve">) reads the Parquet exports through views, runs candidate gating and LLM extraction, resolves mentions into projects, builds a knowledge graph and project embeddings, and persists everything in a second, much smaller DuckDB file (</w:t>
      </w:r>
      <w:r>
        <w:rPr>
          <w:rStyle w:val="VerbatimChar"/>
        </w:rPr>
        <w:t xml:space="preserve">spid.duckdb</w:t>
      </w:r>
      <w:r>
        <w:t xml:space="preserve">, 3.2 GB). The separation matters for reproducibility: the expensive and paid step (LLM extraction) depends only on the frozen Parquet exports and on a ledger of processed sections, so it can be re-run, resumed or audited independently of the corpus build.</w:t>
      </w:r>
    </w:p>
    <w:p>
      <w:pPr>
        <w:pStyle w:val="CaptionedFigure"/>
      </w:pPr>
      <w:r>
        <w:drawing>
          <wp:inline>
            <wp:extent cx="5181600" cy="3365326"/>
            <wp:effectExtent b="0" l="0" r="0" t="0"/>
            <wp:docPr descr="" title="" id="30" name="Picture"/>
            <a:graphic>
              <a:graphicData uri="http://schemas.openxmlformats.org/drawingml/2006/picture">
                <pic:pic>
                  <pic:nvPicPr>
                    <pic:cNvPr descr="figures/fig_pipeline.png" id="31" name="Picture"/>
                    <pic:cNvPicPr>
                      <a:picLocks noChangeArrowheads="1" noChangeAspect="1"/>
                    </pic:cNvPicPr>
                  </pic:nvPicPr>
                  <pic:blipFill>
                    <a:blip r:embed="rId29"/>
                    <a:stretch>
                      <a:fillRect/>
                    </a:stretch>
                  </pic:blipFill>
                  <pic:spPr bwMode="auto">
                    <a:xfrm>
                      <a:off x="0" y="0"/>
                      <a:ext cx="5181600" cy="3365326"/>
                    </a:xfrm>
                    <a:prstGeom prst="rect">
                      <a:avLst/>
                    </a:prstGeom>
                    <a:noFill/>
                    <a:ln w="9525">
                      <a:noFill/>
                      <a:headEnd/>
                      <a:tailEnd/>
                    </a:ln>
                  </pic:spPr>
                </pic:pic>
              </a:graphicData>
            </a:graphic>
          </wp:inline>
        </w:drawing>
      </w:r>
    </w:p>
    <w:p>
      <w:pPr>
        <w:pStyle w:val="ImageCaption"/>
      </w:pPr>
      <w:r>
        <w:t xml:space="preserve">Figure 2: Pipeline architecture. Rounded boxes are processing steps; rectangles are persisted artifacts. The project layer reads the Parquet exports of the corpus layer through read-only views and never modifies them.</w:t>
      </w:r>
    </w:p>
    <w:bookmarkEnd w:id="32"/>
    <w:bookmarkStart w:id="33" w:name="sec-acquisition"/>
    <w:p>
      <w:pPr>
        <w:pStyle w:val="Heading2"/>
      </w:pPr>
      <w:r>
        <w:t xml:space="preserve">4.2 SEC acquisition</w:t>
      </w:r>
    </w:p>
    <w:p>
      <w:pPr>
        <w:pStyle w:val="FirstParagraph"/>
      </w:pPr>
      <w:r>
        <w:t xml:space="preserve">The SEC’s fair-access policy allows ten requests per second per client and asks for a descriptive</w:t>
      </w:r>
      <w:r>
        <w:t xml:space="preserve"> </w:t>
      </w:r>
      <w:r>
        <w:rPr>
          <w:rStyle w:val="VerbatimChar"/>
        </w:rPr>
        <w:t xml:space="preserve">User-Agent</w:t>
      </w:r>
      <w:r>
        <w:t xml:space="preserve"> </w:t>
      </w:r>
      <w:r>
        <w:t xml:space="preserve">with a contact address</w:t>
      </w:r>
      <w:r>
        <w:t xml:space="preserve"> </w:t>
      </w:r>
      <w:r>
        <w:t xml:space="preserve">(U.S. Securities and Exchange Commission 2024)</w:t>
      </w:r>
      <w:r>
        <w:t xml:space="preserve">. Both constraints shaped the acquisition layer (</w:t>
      </w:r>
      <w:r>
        <w:rPr>
          <w:rStyle w:val="VerbatimChar"/>
        </w:rPr>
        <w:t xml:space="preserve">src/acquisition/bulk_downloader.py</w:t>
      </w:r>
      <w:r>
        <w:t xml:space="preserve">). Requests are issued by a pool of threads behind a single token bucket; the bucket rate is a parameter, and when several processes share one public IP address the orchestrator divides nine requests per second among them. HTTP 403, 429 and 503 responses trigger a 65-second cool-down for the whole process rather than a per-request retry, so that a throttling signal is never answered with a burst. Downloads are idempotent: a filing is skipped when its file exists, and every completed download is appended to a JSON-lines log carrying the accession number, form, filing and report dates, primary document name, size and local path. A trusted-log option lets a node skip filings that an earlier corpus already contains without re-fetching them. The SEC submissions header of each issuer (name, SIC, state of incorporation, exchanges, fiscal-year end, former names) is saved alongside, and feeds the</w:t>
      </w:r>
      <w:r>
        <w:t xml:space="preserve"> </w:t>
      </w:r>
      <w:r>
        <w:rPr>
          <w:rStyle w:val="VerbatimChar"/>
        </w:rPr>
        <w:t xml:space="preserve">companies</w:t>
      </w:r>
      <w:r>
        <w:t xml:space="preserve"> </w:t>
      </w:r>
      <w:r>
        <w:t xml:space="preserve">table.</w:t>
      </w:r>
    </w:p>
    <w:p>
      <w:pPr>
        <w:pStyle w:val="BodyText"/>
      </w:pPr>
      <w:r>
        <w:t xml:space="preserve">The October 2026 build used eleven machines: ten Apple-silicon nodes of the UQO MacLustr cluster behind one residential IP address, and one Linux server in an OVHcloud data center in Beauharnois, Québec, behind a second address. Issuers were assigned to nodes in proportion to CPU cores; half of each node’s issuers were downloaded by the node itself (0.9 requests per second each) and half by the external server (one request per second per shard), then shipped to the node over SSH. A first allocation by contiguous CIK ranges proved badly unbalanced—old CIKs are large filers with up to 220 documents each—and was replaced after one hour by an interleaved allocation of the not-yet-started issuers. The whole acquisition (about 400</w:t>
      </w:r>
      <w:r>
        <w:t xml:space="preserve">,</w:t>
      </w:r>
      <w:r>
        <w:t xml:space="preserve">000 new documents) took seven hours at a sustained 17 requests per second, with no fair-access violation recorded.</w:t>
      </w:r>
    </w:p>
    <w:bookmarkEnd w:id="33"/>
    <w:bookmarkStart w:id="34" w:name="document-processing"/>
    <w:p>
      <w:pPr>
        <w:pStyle w:val="Heading2"/>
      </w:pPr>
      <w:r>
        <w:t xml:space="preserve">4.3 Document processing</w:t>
      </w:r>
    </w:p>
    <w:p>
      <w:pPr>
        <w:pStyle w:val="FirstParagraph"/>
      </w:pPr>
      <w:r>
        <w:t xml:space="preserve">Each primary document is cleaned with</w:t>
      </w:r>
      <w:r>
        <w:t xml:space="preserve"> </w:t>
      </w:r>
      <w:r>
        <w:rPr>
          <w:rStyle w:val="VerbatimChar"/>
        </w:rPr>
        <w:t xml:space="preserve">lxml</w:t>
      </w:r>
      <w:r>
        <w:t xml:space="preserve">:</w:t>
      </w:r>
      <w:r>
        <w:t xml:space="preserve"> </w:t>
      </w:r>
      <w:r>
        <w:rPr>
          <w:rStyle w:val="VerbatimChar"/>
        </w:rPr>
        <w:t xml:space="preserve">script</w:t>
      </w:r>
      <w:r>
        <w:t xml:space="preserve">,</w:t>
      </w:r>
      <w:r>
        <w:t xml:space="preserve"> </w:t>
      </w:r>
      <w:r>
        <w:rPr>
          <w:rStyle w:val="VerbatimChar"/>
        </w:rPr>
        <w:t xml:space="preserve">style</w:t>
      </w:r>
      <w:r>
        <w:t xml:space="preserve">,</w:t>
      </w:r>
      <w:r>
        <w:t xml:space="preserve"> </w:t>
      </w:r>
      <w:r>
        <w:rPr>
          <w:rStyle w:val="VerbatimChar"/>
        </w:rPr>
        <w:t xml:space="preserve">meta</w:t>
      </w:r>
      <w:r>
        <w:t xml:space="preserve"> </w:t>
      </w:r>
      <w:r>
        <w:t xml:space="preserve">and</w:t>
      </w:r>
      <w:r>
        <w:t xml:space="preserve"> </w:t>
      </w:r>
      <w:r>
        <w:rPr>
          <w:rStyle w:val="VerbatimChar"/>
        </w:rPr>
        <w:t xml:space="preserve">link</w:t>
      </w:r>
      <w:r>
        <w:t xml:space="preserve"> </w:t>
      </w:r>
      <w:r>
        <w:t xml:space="preserve">elements are removed, tables are flattened to tab-separated text, lists are kept as line items, whitespace is normalized and files above 50 MB are skipped. The segmenter then locates</w:t>
      </w:r>
      <w:r>
        <w:t xml:space="preserve"> </w:t>
      </w:r>
      <w:r>
        <w:t xml:space="preserve">“Item </w:t>
      </w:r>
      <w:r>
        <w:rPr>
          <w:i/>
          <w:iCs/>
        </w:rPr>
        <w:t xml:space="preserve">n</w:t>
      </w:r>
      <w:r>
        <w:t xml:space="preserve">”</w:t>
      </w:r>
      <w:r>
        <w:t xml:space="preserve"> </w:t>
      </w:r>
      <w:r>
        <w:t xml:space="preserve">and</w:t>
      </w:r>
      <w:r>
        <w:t xml:space="preserve"> </w:t>
      </w:r>
      <w:r>
        <w:t xml:space="preserve">“Part I/II”</w:t>
      </w:r>
      <w:r>
        <w:t xml:space="preserve"> </w:t>
      </w:r>
      <w:r>
        <w:t xml:space="preserve">headings by regular expression: 10-Ks are split into up to fourteen sections (Items 1 to 9B), 10-Qs into seven (Part I Items 1–4, Part II Items 1, 1A, 2), and 8-Ks are kept as a single</w:t>
      </w:r>
      <w:r>
        <w:t xml:space="preserve"> </w:t>
      </w:r>
      <w:r>
        <w:rPr>
          <w:rStyle w:val="VerbatimChar"/>
        </w:rPr>
        <w:t xml:space="preserve">full_body</w:t>
      </w:r>
      <w:r>
        <w:t xml:space="preserve"> </w:t>
      </w:r>
      <w:r>
        <w:t xml:space="preserve">section. A filing in which no heading is found is kept as one</w:t>
      </w:r>
      <w:r>
        <w:t xml:space="preserve"> </w:t>
      </w:r>
      <w:r>
        <w:rPr>
          <w:rStyle w:val="VerbatimChar"/>
        </w:rPr>
        <w:t xml:space="preserve">full_document</w:t>
      </w:r>
      <w:r>
        <w:t xml:space="preserve"> </w:t>
      </w:r>
      <w:r>
        <w:t xml:space="preserve">section rather than dropped, so that the foreign-key chain from chunks to sections to filings is never broken. Sections are chunked into 512-word windows with a 64-word overlap for the embedding and factor layers (10.72 million chunks). Provenance is preserved at the section level: each section row stores its item number, order, word and character counts, and each chunk stores its character offsets within the section. Character-level offsets of sections within the raw HTML are</w:t>
      </w:r>
      <w:r>
        <w:t xml:space="preserve"> </w:t>
      </w:r>
      <w:r>
        <w:rPr>
          <w:i/>
          <w:iCs/>
        </w:rPr>
        <w:t xml:space="preserve">not</w:t>
      </w:r>
      <w:r>
        <w:t xml:space="preserve"> </w:t>
      </w:r>
      <w:r>
        <w:t xml:space="preserve">stored, a limitation recorded in the audit.</w:t>
      </w:r>
    </w:p>
    <w:p>
      <w:pPr>
        <w:pStyle w:val="BodyText"/>
      </w:pPr>
      <w:r>
        <w:t xml:space="preserve">Table 3 reports the outcome. The 10-K sections are long (median 875 words, mean 5</w:t>
      </w:r>
      <w:r>
        <w:t xml:space="preserve">,</w:t>
      </w:r>
      <w:r>
        <w:t xml:space="preserve">551) and the 10-Q sections somewhat shorter; 8-K bodies are short (median 575 words). Two coverage statistics deserve emphasis because they bound what the extractor could see: 0.003% of filings failed parsing, and the segmenter’s reliance on textual headings means that a 10-K whose items are rendered as images or in unusual markup collapses into a single</w:t>
      </w:r>
      <w:r>
        <w:t xml:space="preserve"> </w:t>
      </w:r>
      <w:r>
        <w:rPr>
          <w:rStyle w:val="VerbatimChar"/>
        </w:rPr>
        <w:t xml:space="preserve">full_document</w:t>
      </w:r>
      <w:r>
        <w:t xml:space="preserve"> </w:t>
      </w:r>
      <w:r>
        <w:t xml:space="preserve">section (1</w:t>
      </w:r>
      <w:r>
        <w:t xml:space="preserve">,</w:t>
      </w:r>
      <w:r>
        <w:t xml:space="preserve">230 such 10-K sections were sent to the extractor).</w:t>
      </w:r>
    </w:p>
    <w:p>
      <w:pPr>
        <w:pStyle w:val="TableCaption"/>
      </w:pPr>
      <w:r>
        <w:t xml:space="preserve">Table 3: Parsed sections and sections submitted to the extractor, by form</w:t>
      </w:r>
    </w:p>
    <w:tbl>
      <w:tblPr>
        <w:tblStyle w:val="Table"/>
        <w:tblW w:type="dxa" w:w="9792"/>
        <w:tblLayout w:type="fixed"/>
        <w:tblLook w:firstRow="1" w:lastRow="0" w:firstColumn="0" w:lastColumn="0" w:noHBand="0" w:noVBand="0" w:val="0020"/>
        <w:tblCaption w:val="Table 3: Parsed sections and sections submitted to the extractor, by form"/>
      </w:tblPr>
      <w:tblGrid>
        <w:gridCol w:w="941"/>
        <w:gridCol w:w="1694"/>
        <w:gridCol w:w="1129"/>
        <w:gridCol w:w="1694"/>
        <w:gridCol w:w="1506"/>
        <w:gridCol w:w="1506"/>
        <w:gridCol w:w="1318"/>
      </w:tblGrid>
      <w:tr>
        <w:trPr>
          <w:tblHeader w:val="on"/>
        </w:trPr>
        <w:tc>
          <w:tcPr>
            <w:tcW w:type="dxa" w:w="941"/>
            <w:tcMar>
              <w:left w:w="30" w:type="dxa"/>
              <w:right w:w="30" w:type="dxa"/>
            </w:tcMar>
          </w:tcPr>
          <w:p>
            <w:pPr>
              <w:pStyle w:val="Compact"/>
              <w:spacing w:after="0" w:before="0"/>
              <w:jc w:val="left"/>
            </w:pPr>
            <w:r>
              <w:rPr>
                <w:sz w:val="16"/>
              </w:rPr>
              <w:t xml:space="preserve">Form</w:t>
            </w:r>
          </w:p>
        </w:tc>
        <w:tc>
          <w:tcPr>
            <w:tcW w:type="dxa" w:w="1694"/>
            <w:tcMar>
              <w:left w:w="30" w:type="dxa"/>
              <w:right w:w="30" w:type="dxa"/>
            </w:tcMar>
          </w:tcPr>
          <w:p>
            <w:pPr>
              <w:pStyle w:val="Compact"/>
              <w:spacing w:after="0" w:before="0"/>
              <w:jc w:val="right"/>
            </w:pPr>
            <w:r>
              <w:rPr>
                <w:sz w:val="16"/>
              </w:rPr>
              <w:t xml:space="preserve">Parsed sections</w:t>
            </w:r>
          </w:p>
        </w:tc>
        <w:tc>
          <w:tcPr>
            <w:tcW w:type="dxa" w:w="1129"/>
            <w:tcMar>
              <w:left w:w="30" w:type="dxa"/>
              <w:right w:w="30" w:type="dxa"/>
            </w:tcMar>
          </w:tcPr>
          <w:p>
            <w:pPr>
              <w:pStyle w:val="Compact"/>
              <w:spacing w:after="0" w:before="0"/>
              <w:jc w:val="right"/>
            </w:pPr>
            <w:r>
              <w:rPr>
                <w:sz w:val="16"/>
              </w:rPr>
              <w:t xml:space="preserve">Median words</w:t>
            </w:r>
          </w:p>
        </w:tc>
        <w:tc>
          <w:tcPr>
            <w:tcW w:type="dxa" w:w="1694"/>
            <w:tcMar>
              <w:left w:w="30" w:type="dxa"/>
              <w:right w:w="30" w:type="dxa"/>
            </w:tcMar>
          </w:tcPr>
          <w:p>
            <w:pPr>
              <w:pStyle w:val="Compact"/>
              <w:spacing w:after="0" w:before="0"/>
              <w:jc w:val="right"/>
            </w:pPr>
            <w:r>
              <w:rPr>
                <w:sz w:val="16"/>
              </w:rPr>
              <w:t xml:space="preserve">Sections sent to the extractor</w:t>
            </w:r>
          </w:p>
        </w:tc>
        <w:tc>
          <w:tcPr>
            <w:tcW w:type="dxa" w:w="1506"/>
            <w:tcMar>
              <w:left w:w="30" w:type="dxa"/>
              <w:right w:w="30" w:type="dxa"/>
            </w:tcMar>
          </w:tcPr>
          <w:p>
            <w:pPr>
              <w:pStyle w:val="Compact"/>
              <w:spacing w:after="0" w:before="0"/>
              <w:jc w:val="right"/>
            </w:pPr>
            <w:r>
              <w:rPr>
                <w:sz w:val="16"/>
              </w:rPr>
              <w:t xml:space="preserve">Sections with</w:t>
            </w:r>
            <w:r>
              <w:rPr>
                <w:sz w:val="16"/>
              </w:rPr>
              <w:t xml:space="preserve"> </w:t>
            </w:r>
            <m:oMath>
              <m:r>
                <m:rPr>
                  <m:sty m:val="p"/>
                </m:rPr>
                <m:t>≥</m:t>
              </m:r>
              <m:r>
                <m:t>1</m:t>
              </m:r>
            </m:oMath>
            <w:r>
              <w:rPr>
                <w:sz w:val="16"/>
              </w:rPr>
              <w:t xml:space="preserve"> </w:t>
            </w:r>
            <w:r>
              <w:rPr>
                <w:sz w:val="16"/>
              </w:rPr>
              <w:t xml:space="preserve">mention</w:t>
            </w:r>
          </w:p>
        </w:tc>
        <w:tc>
          <w:tcPr>
            <w:tcW w:type="dxa" w:w="1506"/>
            <w:tcMar>
              <w:left w:w="30" w:type="dxa"/>
              <w:right w:w="30" w:type="dxa"/>
            </w:tcMar>
          </w:tcPr>
          <w:p>
            <w:pPr>
              <w:pStyle w:val="Compact"/>
              <w:spacing w:after="0" w:before="0"/>
              <w:jc w:val="right"/>
            </w:pPr>
            <w:r>
              <w:rPr>
                <w:sz w:val="16"/>
              </w:rPr>
              <w:t xml:space="preserve">Mentions</w:t>
            </w:r>
          </w:p>
        </w:tc>
        <w:tc>
          <w:tcPr>
            <w:tcW w:type="dxa" w:w="1318"/>
            <w:tcMar>
              <w:left w:w="30" w:type="dxa"/>
              <w:right w:w="30" w:type="dxa"/>
            </w:tcMar>
          </w:tcPr>
          <w:p>
            <w:pPr>
              <w:pStyle w:val="Compact"/>
              <w:spacing w:after="0" w:before="0"/>
              <w:jc w:val="right"/>
            </w:pPr>
            <w:r>
              <w:rPr>
                <w:sz w:val="16"/>
              </w:rPr>
              <w:t xml:space="preserve">Issuers</w:t>
            </w:r>
          </w:p>
        </w:tc>
      </w:tr>
      <w:tr>
        <w:tc>
          <w:tcPr>
            <w:tcW w:type="dxa" w:w="941"/>
            <w:tcMar>
              <w:left w:w="30" w:type="dxa"/>
              <w:right w:w="30" w:type="dxa"/>
            </w:tcMar>
          </w:tcPr>
          <w:p>
            <w:pPr>
              <w:pStyle w:val="Compact"/>
              <w:spacing w:after="0" w:before="0"/>
              <w:jc w:val="left"/>
            </w:pPr>
            <w:r>
              <w:rPr>
                <w:sz w:val="16"/>
              </w:rPr>
              <w:t xml:space="preserve">10-K</w:t>
            </w:r>
          </w:p>
        </w:tc>
        <w:tc>
          <w:tcPr>
            <w:tcW w:type="dxa" w:w="1694"/>
            <w:tcMar>
              <w:left w:w="30" w:type="dxa"/>
              <w:right w:w="30" w:type="dxa"/>
            </w:tcMar>
          </w:tcPr>
          <w:p>
            <w:pPr>
              <w:pStyle w:val="Compact"/>
              <w:spacing w:after="0" w:before="0"/>
              <w:jc w:val="right"/>
            </w:pPr>
            <w:r>
              <w:rPr>
                <w:sz w:val="16"/>
              </w:rPr>
              <w:t xml:space="preserve">341</w:t>
            </w:r>
            <w:r>
              <w:rPr>
                <w:sz w:val="16"/>
              </w:rPr>
              <w:t xml:space="preserve">,</w:t>
            </w:r>
            <w:r>
              <w:rPr>
                <w:sz w:val="16"/>
              </w:rPr>
              <w:t xml:space="preserve">207</w:t>
            </w:r>
          </w:p>
        </w:tc>
        <w:tc>
          <w:tcPr>
            <w:tcW w:type="dxa" w:w="1129"/>
            <w:tcMar>
              <w:left w:w="30" w:type="dxa"/>
              <w:right w:w="30" w:type="dxa"/>
            </w:tcMar>
          </w:tcPr>
          <w:p>
            <w:pPr>
              <w:pStyle w:val="Compact"/>
              <w:spacing w:after="0" w:before="0"/>
              <w:jc w:val="right"/>
            </w:pPr>
            <w:r>
              <w:rPr>
                <w:sz w:val="16"/>
              </w:rPr>
              <w:t xml:space="preserve">875</w:t>
            </w:r>
          </w:p>
        </w:tc>
        <w:tc>
          <w:tcPr>
            <w:tcW w:type="dxa" w:w="1694"/>
            <w:tcMar>
              <w:left w:w="30" w:type="dxa"/>
              <w:right w:w="30" w:type="dxa"/>
            </w:tcMar>
          </w:tcPr>
          <w:p>
            <w:pPr>
              <w:pStyle w:val="Compact"/>
              <w:spacing w:after="0" w:before="0"/>
              <w:jc w:val="right"/>
            </w:pPr>
            <w:r>
              <w:rPr>
                <w:sz w:val="16"/>
              </w:rPr>
              <w:t xml:space="preserve">143</w:t>
            </w:r>
            <w:r>
              <w:rPr>
                <w:sz w:val="16"/>
              </w:rPr>
              <w:t xml:space="preserve">,</w:t>
            </w:r>
            <w:r>
              <w:rPr>
                <w:sz w:val="16"/>
              </w:rPr>
              <w:t xml:space="preserve">704</w:t>
            </w:r>
          </w:p>
        </w:tc>
        <w:tc>
          <w:tcPr>
            <w:tcW w:type="dxa" w:w="1506"/>
            <w:tcMar>
              <w:left w:w="30" w:type="dxa"/>
              <w:right w:w="30" w:type="dxa"/>
            </w:tcMar>
          </w:tcPr>
          <w:p>
            <w:pPr>
              <w:pStyle w:val="Compact"/>
              <w:spacing w:after="0" w:before="0"/>
              <w:jc w:val="right"/>
            </w:pPr>
            <w:r>
              <w:rPr>
                <w:sz w:val="16"/>
              </w:rPr>
              <w:t xml:space="preserve">30</w:t>
            </w:r>
            <w:r>
              <w:rPr>
                <w:sz w:val="16"/>
              </w:rPr>
              <w:t xml:space="preserve">,</w:t>
            </w:r>
            <w:r>
              <w:rPr>
                <w:sz w:val="16"/>
              </w:rPr>
              <w:t xml:space="preserve">877</w:t>
            </w:r>
          </w:p>
        </w:tc>
        <w:tc>
          <w:tcPr>
            <w:tcW w:type="dxa" w:w="1506"/>
            <w:tcMar>
              <w:left w:w="30" w:type="dxa"/>
              <w:right w:w="30" w:type="dxa"/>
            </w:tcMar>
          </w:tcPr>
          <w:p>
            <w:pPr>
              <w:pStyle w:val="Compact"/>
              <w:spacing w:after="0" w:before="0"/>
              <w:jc w:val="right"/>
            </w:pPr>
            <w:r>
              <w:rPr>
                <w:sz w:val="16"/>
              </w:rPr>
              <w:t xml:space="preserve">81</w:t>
            </w:r>
            <w:r>
              <w:rPr>
                <w:sz w:val="16"/>
              </w:rPr>
              <w:t xml:space="preserve">,</w:t>
            </w:r>
            <w:r>
              <w:rPr>
                <w:sz w:val="16"/>
              </w:rPr>
              <w:t xml:space="preserve">622</w:t>
            </w:r>
          </w:p>
        </w:tc>
        <w:tc>
          <w:tcPr>
            <w:tcW w:type="dxa" w:w="1318"/>
            <w:tcMar>
              <w:left w:w="30" w:type="dxa"/>
              <w:right w:w="30" w:type="dxa"/>
            </w:tcMar>
          </w:tcPr>
          <w:p>
            <w:pPr>
              <w:pStyle w:val="Compact"/>
              <w:spacing w:after="0" w:before="0"/>
              <w:jc w:val="right"/>
            </w:pPr>
            <w:r>
              <w:rPr>
                <w:sz w:val="16"/>
              </w:rPr>
              <w:t xml:space="preserve">2</w:t>
            </w:r>
            <w:r>
              <w:rPr>
                <w:sz w:val="16"/>
              </w:rPr>
              <w:t xml:space="preserve">,</w:t>
            </w:r>
            <w:r>
              <w:rPr>
                <w:sz w:val="16"/>
              </w:rPr>
              <w:t xml:space="preserve">464</w:t>
            </w:r>
          </w:p>
        </w:tc>
      </w:tr>
      <w:tr>
        <w:tc>
          <w:tcPr>
            <w:tcW w:type="dxa" w:w="941"/>
            <w:tcMar>
              <w:left w:w="30" w:type="dxa"/>
              <w:right w:w="30" w:type="dxa"/>
            </w:tcMar>
          </w:tcPr>
          <w:p>
            <w:pPr>
              <w:pStyle w:val="Compact"/>
              <w:spacing w:after="0" w:before="0"/>
              <w:jc w:val="left"/>
            </w:pPr>
            <w:r>
              <w:rPr>
                <w:sz w:val="16"/>
              </w:rPr>
              <w:t xml:space="preserve">10-Q</w:t>
            </w:r>
          </w:p>
        </w:tc>
        <w:tc>
          <w:tcPr>
            <w:tcW w:type="dxa" w:w="1694"/>
            <w:tcMar>
              <w:left w:w="30" w:type="dxa"/>
              <w:right w:w="30" w:type="dxa"/>
            </w:tcMar>
          </w:tcPr>
          <w:p>
            <w:pPr>
              <w:pStyle w:val="Compact"/>
              <w:spacing w:after="0" w:before="0"/>
              <w:jc w:val="right"/>
            </w:pPr>
            <w:r>
              <w:rPr>
                <w:sz w:val="16"/>
              </w:rPr>
              <w:t xml:space="preserve">600</w:t>
            </w:r>
            <w:r>
              <w:rPr>
                <w:sz w:val="16"/>
              </w:rPr>
              <w:t xml:space="preserve">,</w:t>
            </w:r>
            <w:r>
              <w:rPr>
                <w:sz w:val="16"/>
              </w:rPr>
              <w:t xml:space="preserve">471</w:t>
            </w:r>
          </w:p>
        </w:tc>
        <w:tc>
          <w:tcPr>
            <w:tcW w:type="dxa" w:w="1129"/>
            <w:tcMar>
              <w:left w:w="30" w:type="dxa"/>
              <w:right w:w="30" w:type="dxa"/>
            </w:tcMar>
          </w:tcPr>
          <w:p>
            <w:pPr>
              <w:pStyle w:val="Compact"/>
              <w:spacing w:after="0" w:before="0"/>
              <w:jc w:val="right"/>
            </w:pPr>
            <w:r>
              <w:rPr>
                <w:sz w:val="16"/>
              </w:rPr>
              <w:t xml:space="preserve">500</w:t>
            </w:r>
          </w:p>
        </w:tc>
        <w:tc>
          <w:tcPr>
            <w:tcW w:type="dxa" w:w="1694"/>
            <w:tcMar>
              <w:left w:w="30" w:type="dxa"/>
              <w:right w:w="30" w:type="dxa"/>
            </w:tcMar>
          </w:tcPr>
          <w:p>
            <w:pPr>
              <w:pStyle w:val="Compact"/>
              <w:spacing w:after="0" w:before="0"/>
              <w:jc w:val="right"/>
            </w:pPr>
            <w:r>
              <w:rPr>
                <w:sz w:val="16"/>
              </w:rPr>
              <w:t xml:space="preserve">578</w:t>
            </w:r>
            <w:r>
              <w:rPr>
                <w:sz w:val="16"/>
              </w:rPr>
              <w:t xml:space="preserve">,</w:t>
            </w:r>
            <w:r>
              <w:rPr>
                <w:sz w:val="16"/>
              </w:rPr>
              <w:t xml:space="preserve">793</w:t>
            </w:r>
          </w:p>
        </w:tc>
        <w:tc>
          <w:tcPr>
            <w:tcW w:type="dxa" w:w="1506"/>
            <w:tcMar>
              <w:left w:w="30" w:type="dxa"/>
              <w:right w:w="30" w:type="dxa"/>
            </w:tcMar>
          </w:tcPr>
          <w:p>
            <w:pPr>
              <w:pStyle w:val="Compact"/>
              <w:spacing w:after="0" w:before="0"/>
              <w:jc w:val="right"/>
            </w:pPr>
            <w:r>
              <w:rPr>
                <w:sz w:val="16"/>
              </w:rPr>
              <w:t xml:space="preserve">75</w:t>
            </w:r>
            <w:r>
              <w:rPr>
                <w:sz w:val="16"/>
              </w:rPr>
              <w:t xml:space="preserve">,</w:t>
            </w:r>
            <w:r>
              <w:rPr>
                <w:sz w:val="16"/>
              </w:rPr>
              <w:t xml:space="preserve">705</w:t>
            </w:r>
          </w:p>
        </w:tc>
        <w:tc>
          <w:tcPr>
            <w:tcW w:type="dxa" w:w="1506"/>
            <w:tcMar>
              <w:left w:w="30" w:type="dxa"/>
              <w:right w:w="30" w:type="dxa"/>
            </w:tcMar>
          </w:tcPr>
          <w:p>
            <w:pPr>
              <w:pStyle w:val="Compact"/>
              <w:spacing w:after="0" w:before="0"/>
              <w:jc w:val="right"/>
            </w:pPr>
            <w:r>
              <w:rPr>
                <w:sz w:val="16"/>
              </w:rPr>
              <w:t xml:space="preserve">152</w:t>
            </w:r>
            <w:r>
              <w:rPr>
                <w:sz w:val="16"/>
              </w:rPr>
              <w:t xml:space="preserve">,</w:t>
            </w:r>
            <w:r>
              <w:rPr>
                <w:sz w:val="16"/>
              </w:rPr>
              <w:t xml:space="preserve">261</w:t>
            </w:r>
          </w:p>
        </w:tc>
        <w:tc>
          <w:tcPr>
            <w:tcW w:type="dxa" w:w="1318"/>
            <w:tcMar>
              <w:left w:w="30" w:type="dxa"/>
              <w:right w:w="30" w:type="dxa"/>
            </w:tcMar>
          </w:tcPr>
          <w:p>
            <w:pPr>
              <w:pStyle w:val="Compact"/>
              <w:spacing w:after="0" w:before="0"/>
              <w:jc w:val="right"/>
            </w:pPr>
            <w:r>
              <w:rPr>
                <w:sz w:val="16"/>
              </w:rPr>
              <w:t xml:space="preserve">2</w:t>
            </w:r>
            <w:r>
              <w:rPr>
                <w:sz w:val="16"/>
              </w:rPr>
              <w:t xml:space="preserve">,</w:t>
            </w:r>
            <w:r>
              <w:rPr>
                <w:sz w:val="16"/>
              </w:rPr>
              <w:t xml:space="preserve">494</w:t>
            </w:r>
          </w:p>
        </w:tc>
      </w:tr>
      <w:tr>
        <w:tc>
          <w:tcPr>
            <w:tcW w:type="dxa" w:w="941"/>
            <w:tcMar>
              <w:left w:w="30" w:type="dxa"/>
              <w:right w:w="30" w:type="dxa"/>
            </w:tcMar>
          </w:tcPr>
          <w:p>
            <w:pPr>
              <w:pStyle w:val="Compact"/>
              <w:spacing w:after="0" w:before="0"/>
              <w:jc w:val="left"/>
            </w:pPr>
            <w:r>
              <w:rPr>
                <w:sz w:val="16"/>
              </w:rPr>
              <w:t xml:space="preserve">8-K</w:t>
            </w:r>
          </w:p>
        </w:tc>
        <w:tc>
          <w:tcPr>
            <w:tcW w:type="dxa" w:w="1694"/>
            <w:tcMar>
              <w:left w:w="30" w:type="dxa"/>
              <w:right w:w="30" w:type="dxa"/>
            </w:tcMar>
          </w:tcPr>
          <w:p>
            <w:pPr>
              <w:pStyle w:val="Compact"/>
              <w:spacing w:after="0" w:before="0"/>
              <w:jc w:val="right"/>
            </w:pPr>
            <w:r>
              <w:rPr>
                <w:sz w:val="16"/>
              </w:rPr>
              <w:t xml:space="preserve">400</w:t>
            </w:r>
            <w:r>
              <w:rPr>
                <w:sz w:val="16"/>
              </w:rPr>
              <w:t xml:space="preserve">,</w:t>
            </w:r>
            <w:r>
              <w:rPr>
                <w:sz w:val="16"/>
              </w:rPr>
              <w:t xml:space="preserve">605</w:t>
            </w:r>
          </w:p>
        </w:tc>
        <w:tc>
          <w:tcPr>
            <w:tcW w:type="dxa" w:w="1129"/>
            <w:tcMar>
              <w:left w:w="30" w:type="dxa"/>
              <w:right w:w="30" w:type="dxa"/>
            </w:tcMar>
          </w:tcPr>
          <w:p>
            <w:pPr>
              <w:pStyle w:val="Compact"/>
              <w:spacing w:after="0" w:before="0"/>
              <w:jc w:val="right"/>
            </w:pPr>
            <w:r>
              <w:rPr>
                <w:sz w:val="16"/>
              </w:rPr>
              <w:t xml:space="preserve">575</w:t>
            </w:r>
          </w:p>
        </w:tc>
        <w:tc>
          <w:tcPr>
            <w:tcW w:type="dxa" w:w="1694"/>
            <w:tcMar>
              <w:left w:w="30" w:type="dxa"/>
              <w:right w:w="30" w:type="dxa"/>
            </w:tcMar>
          </w:tcPr>
          <w:p>
            <w:pPr>
              <w:pStyle w:val="Compact"/>
              <w:spacing w:after="0" w:before="0"/>
              <w:jc w:val="right"/>
            </w:pPr>
            <w:r>
              <w:rPr>
                <w:sz w:val="16"/>
              </w:rPr>
              <w:t xml:space="preserve">400</w:t>
            </w:r>
            <w:r>
              <w:rPr>
                <w:sz w:val="16"/>
              </w:rPr>
              <w:t xml:space="preserve">,</w:t>
            </w:r>
            <w:r>
              <w:rPr>
                <w:sz w:val="16"/>
              </w:rPr>
              <w:t xml:space="preserve">601</w:t>
            </w:r>
          </w:p>
        </w:tc>
        <w:tc>
          <w:tcPr>
            <w:tcW w:type="dxa" w:w="1506"/>
            <w:tcMar>
              <w:left w:w="30" w:type="dxa"/>
              <w:right w:w="30" w:type="dxa"/>
            </w:tcMar>
          </w:tcPr>
          <w:p>
            <w:pPr>
              <w:pStyle w:val="Compact"/>
              <w:spacing w:after="0" w:before="0"/>
              <w:jc w:val="right"/>
            </w:pPr>
            <w:r>
              <w:rPr>
                <w:sz w:val="16"/>
              </w:rPr>
              <w:t xml:space="preserve">61</w:t>
            </w:r>
            <w:r>
              <w:rPr>
                <w:sz w:val="16"/>
              </w:rPr>
              <w:t xml:space="preserve">,</w:t>
            </w:r>
            <w:r>
              <w:rPr>
                <w:sz w:val="16"/>
              </w:rPr>
              <w:t xml:space="preserve">648</w:t>
            </w:r>
          </w:p>
        </w:tc>
        <w:tc>
          <w:tcPr>
            <w:tcW w:type="dxa" w:w="1506"/>
            <w:tcMar>
              <w:left w:w="30" w:type="dxa"/>
              <w:right w:w="30" w:type="dxa"/>
            </w:tcMar>
          </w:tcPr>
          <w:p>
            <w:pPr>
              <w:pStyle w:val="Compact"/>
              <w:spacing w:after="0" w:before="0"/>
              <w:jc w:val="right"/>
            </w:pPr>
            <w:r>
              <w:rPr>
                <w:sz w:val="16"/>
              </w:rPr>
              <w:t xml:space="preserve">74</w:t>
            </w:r>
            <w:r>
              <w:rPr>
                <w:sz w:val="16"/>
              </w:rPr>
              <w:t xml:space="preserve">,</w:t>
            </w:r>
            <w:r>
              <w:rPr>
                <w:sz w:val="16"/>
              </w:rPr>
              <w:t xml:space="preserve">594</w:t>
            </w:r>
          </w:p>
        </w:tc>
        <w:tc>
          <w:tcPr>
            <w:tcW w:type="dxa" w:w="1318"/>
            <w:tcMar>
              <w:left w:w="30" w:type="dxa"/>
              <w:right w:w="30" w:type="dxa"/>
            </w:tcMar>
          </w:tcPr>
          <w:p>
            <w:pPr>
              <w:pStyle w:val="Compact"/>
              <w:spacing w:after="0" w:before="0"/>
              <w:jc w:val="right"/>
            </w:pPr>
            <w:r>
              <w:rPr>
                <w:sz w:val="16"/>
              </w:rPr>
              <w:t xml:space="preserve">2</w:t>
            </w:r>
            <w:r>
              <w:rPr>
                <w:sz w:val="16"/>
              </w:rPr>
              <w:t xml:space="preserve">,</w:t>
            </w:r>
            <w:r>
              <w:rPr>
                <w:sz w:val="16"/>
              </w:rPr>
              <w:t xml:space="preserve">499</w:t>
            </w:r>
          </w:p>
        </w:tc>
      </w:tr>
      <w:tr>
        <w:tc>
          <w:tcPr>
            <w:tcW w:type="dxa" w:w="941"/>
            <w:tcMar>
              <w:left w:w="30" w:type="dxa"/>
              <w:right w:w="30" w:type="dxa"/>
            </w:tcMar>
          </w:tcPr>
          <w:p>
            <w:pPr>
              <w:pStyle w:val="Compact"/>
              <w:spacing w:after="0" w:before="0"/>
              <w:jc w:val="left"/>
            </w:pPr>
            <w:r>
              <w:rPr>
                <w:sz w:val="16"/>
              </w:rPr>
              <w:t xml:space="preserve">Total</w:t>
            </w:r>
          </w:p>
        </w:tc>
        <w:tc>
          <w:tcPr>
            <w:tcW w:type="dxa" w:w="1694"/>
            <w:tcMar>
              <w:left w:w="30" w:type="dxa"/>
              <w:right w:w="30" w:type="dxa"/>
            </w:tcMar>
          </w:tcPr>
          <w:p>
            <w:pPr>
              <w:pStyle w:val="Compact"/>
              <w:spacing w:after="0" w:before="0"/>
              <w:jc w:val="right"/>
            </w:pPr>
            <w:r>
              <w:rPr>
                <w:sz w:val="16"/>
              </w:rPr>
              <w:t xml:space="preserve">1</w:t>
            </w:r>
            <w:r>
              <w:rPr>
                <w:sz w:val="16"/>
              </w:rPr>
              <w:t xml:space="preserve">,</w:t>
            </w:r>
            <w:r>
              <w:rPr>
                <w:sz w:val="16"/>
              </w:rPr>
              <w:t xml:space="preserve">342</w:t>
            </w:r>
            <w:r>
              <w:rPr>
                <w:sz w:val="16"/>
              </w:rPr>
              <w:t xml:space="preserve">,</w:t>
            </w:r>
            <w:r>
              <w:rPr>
                <w:sz w:val="16"/>
              </w:rPr>
              <w:t xml:space="preserve">283</w:t>
            </w:r>
          </w:p>
        </w:tc>
        <w:tc>
          <w:tcPr>
            <w:tcW w:type="dxa" w:w="1129"/>
            <w:tcMar>
              <w:left w:w="30" w:type="dxa"/>
              <w:right w:w="30" w:type="dxa"/>
            </w:tcMar>
          </w:tcPr>
          <w:p>
            <w:pPr>
              <w:pStyle w:val="Compact"/>
              <w:spacing w:after="0" w:before="0"/>
            </w:pPr>
          </w:p>
        </w:tc>
        <w:tc>
          <w:tcPr>
            <w:tcW w:type="dxa" w:w="1694"/>
            <w:tcMar>
              <w:left w:w="30" w:type="dxa"/>
              <w:right w:w="30" w:type="dxa"/>
            </w:tcMar>
          </w:tcPr>
          <w:p>
            <w:pPr>
              <w:pStyle w:val="Compact"/>
              <w:spacing w:after="0" w:before="0"/>
              <w:jc w:val="right"/>
            </w:pPr>
            <w:r>
              <w:rPr>
                <w:sz w:val="16"/>
              </w:rPr>
              <w:t xml:space="preserve">1</w:t>
            </w:r>
            <w:r>
              <w:rPr>
                <w:sz w:val="16"/>
              </w:rPr>
              <w:t xml:space="preserve">,</w:t>
            </w:r>
            <w:r>
              <w:rPr>
                <w:sz w:val="16"/>
              </w:rPr>
              <w:t xml:space="preserve">123</w:t>
            </w:r>
            <w:r>
              <w:rPr>
                <w:sz w:val="16"/>
              </w:rPr>
              <w:t xml:space="preserve">,</w:t>
            </w:r>
            <w:r>
              <w:rPr>
                <w:sz w:val="16"/>
              </w:rPr>
              <w:t xml:space="preserve">098</w:t>
            </w:r>
          </w:p>
        </w:tc>
        <w:tc>
          <w:tcPr>
            <w:tcW w:type="dxa" w:w="1506"/>
            <w:tcMar>
              <w:left w:w="30" w:type="dxa"/>
              <w:right w:w="30" w:type="dxa"/>
            </w:tcMar>
          </w:tcPr>
          <w:p>
            <w:pPr>
              <w:pStyle w:val="Compact"/>
              <w:spacing w:after="0" w:before="0"/>
              <w:jc w:val="right"/>
            </w:pPr>
            <w:r>
              <w:rPr>
                <w:sz w:val="16"/>
              </w:rPr>
              <w:t xml:space="preserve">168</w:t>
            </w:r>
            <w:r>
              <w:rPr>
                <w:sz w:val="16"/>
              </w:rPr>
              <w:t xml:space="preserve">,</w:t>
            </w:r>
            <w:r>
              <w:rPr>
                <w:sz w:val="16"/>
              </w:rPr>
              <w:t xml:space="preserve">230</w:t>
            </w:r>
          </w:p>
        </w:tc>
        <w:tc>
          <w:tcPr>
            <w:tcW w:type="dxa" w:w="1506"/>
            <w:tcMar>
              <w:left w:w="30" w:type="dxa"/>
              <w:right w:w="30" w:type="dxa"/>
            </w:tcMar>
          </w:tcPr>
          <w:p>
            <w:pPr>
              <w:pStyle w:val="Compact"/>
              <w:spacing w:after="0" w:before="0"/>
              <w:jc w:val="right"/>
            </w:pPr>
            <w:r>
              <w:rPr>
                <w:sz w:val="16"/>
              </w:rPr>
              <w:t xml:space="preserve">308</w:t>
            </w:r>
            <w:r>
              <w:rPr>
                <w:sz w:val="16"/>
              </w:rPr>
              <w:t xml:space="preserve">,</w:t>
            </w:r>
            <w:r>
              <w:rPr>
                <w:sz w:val="16"/>
              </w:rPr>
              <w:t xml:space="preserve">477</w:t>
            </w:r>
          </w:p>
        </w:tc>
        <w:tc>
          <w:tcPr>
            <w:tcW w:type="dxa" w:w="1318"/>
            <w:tcMar>
              <w:left w:w="30" w:type="dxa"/>
              <w:right w:w="30" w:type="dxa"/>
            </w:tcMar>
          </w:tcPr>
          <w:p>
            <w:pPr>
              <w:pStyle w:val="Compact"/>
              <w:spacing w:after="0" w:before="0"/>
              <w:jc w:val="right"/>
            </w:pPr>
            <w:r>
              <w:rPr>
                <w:sz w:val="16"/>
              </w:rPr>
              <w:t xml:space="preserve">2</w:t>
            </w:r>
            <w:r>
              <w:rPr>
                <w:sz w:val="16"/>
              </w:rPr>
              <w:t xml:space="preserve">,</w:t>
            </w:r>
            <w:r>
              <w:rPr>
                <w:sz w:val="16"/>
              </w:rPr>
              <w:t xml:space="preserve">499</w:t>
            </w:r>
          </w:p>
        </w:tc>
      </w:tr>
    </w:tbl>
    <w:p>
      <w:pPr>
        <w:pStyle w:val="BodyText"/>
      </w:pPr>
      <w:r>
        <w:rPr>
          <w:i/>
          <w:iCs/>
        </w:rPr>
        <w:t xml:space="preserve">Notes:</w:t>
      </w:r>
      <w:r>
        <w:t xml:space="preserve"> </w:t>
      </w:r>
      <w:r>
        <w:t xml:space="preserve">“Sections sent to the extractor”</w:t>
      </w:r>
      <w:r>
        <w:t xml:space="preserve"> </w:t>
      </w:r>
      <w:r>
        <w:t xml:space="preserve">counts rows of the</w:t>
      </w:r>
      <w:r>
        <w:t xml:space="preserve"> </w:t>
      </w:r>
      <w:r>
        <w:rPr>
          <w:rStyle w:val="VerbatimChar"/>
        </w:rPr>
        <w:t xml:space="preserve">extracted_sections</w:t>
      </w:r>
      <w:r>
        <w:t xml:space="preserve"> </w:t>
      </w:r>
      <w:r>
        <w:t xml:space="preserve">ledger: sections with at least 30 words, restricted for 10-Ks to Items 1, 1A, 2, 7 and 7A (see Table 4). Parsed 10-K sections also include Items 3–6, 8, 9–9B, which are not submitted.</w:t>
      </w:r>
    </w:p>
    <w:bookmarkEnd w:id="34"/>
    <w:bookmarkStart w:id="35" w:name="distributed-build-and-merge"/>
    <w:p>
      <w:pPr>
        <w:pStyle w:val="Heading2"/>
      </w:pPr>
      <w:r>
        <w:t xml:space="preserve">4.4 Distributed build and merge</w:t>
      </w:r>
    </w:p>
    <w:p>
      <w:pPr>
        <w:pStyle w:val="FirstParagraph"/>
      </w:pPr>
      <w:r>
        <w:t xml:space="preserve">Parsing, chunking and embedding ran on every node against the node’s own shard, using the same code revision and a local DuckDB file; each node then exported its tables to Parquet. The master node (M3U96b, which also holds the original S&amp;P 500 corpus) pulled the shards and merged them with an append-only rule: a row is inserted only if its primary key (accession number, section or chunk UUID) is absent, so that re-running the merge cannot create duplicates. The merged database holds 2</w:t>
      </w:r>
      <w:r>
        <w:t xml:space="preserve">,</w:t>
      </w:r>
      <w:r>
        <w:t xml:space="preserve">564 issuers, 527</w:t>
      </w:r>
      <w:r>
        <w:t xml:space="preserve">,</w:t>
      </w:r>
      <w:r>
        <w:t xml:space="preserve">548 filings, 1</w:t>
      </w:r>
      <w:r>
        <w:t xml:space="preserve">,</w:t>
      </w:r>
      <w:r>
        <w:t xml:space="preserve">342</w:t>
      </w:r>
      <w:r>
        <w:t xml:space="preserve">,</w:t>
      </w:r>
      <w:r>
        <w:t xml:space="preserve">283 sections, 10</w:t>
      </w:r>
      <w:r>
        <w:t xml:space="preserve">,</w:t>
      </w:r>
      <w:r>
        <w:t xml:space="preserve">720</w:t>
      </w:r>
      <w:r>
        <w:t xml:space="preserve">,</w:t>
      </w:r>
      <w:r>
        <w:t xml:space="preserve">890 chunks and as many 384-dimensional embeddings. Parsing throughput was about 100 filings per second per node (five to thirteen minutes per shard); embeddings took 15–40 minutes per node on Apple-silicon GPUs; the merge and the factor computation took seven minutes. The orchestration script (</w:t>
      </w:r>
      <w:r>
        <w:rPr>
          <w:rStyle w:val="VerbatimChar"/>
        </w:rPr>
        <w:t xml:space="preserve">scripts/cluster/orchestrate.py</w:t>
      </w:r>
      <w:r>
        <w:t xml:space="preserve">) is stage-based and idempotent: every stage polls marker files on the nodes and can be restarted without side effects. Private infrastructure details (addresses, credentials, keys) are kept outside the repository and outside this paper.</w:t>
      </w:r>
    </w:p>
    <w:bookmarkEnd w:id="35"/>
    <w:bookmarkStart w:id="36" w:name="versioning"/>
    <w:p>
      <w:pPr>
        <w:pStyle w:val="Heading2"/>
      </w:pPr>
      <w:r>
        <w:t xml:space="preserve">4.5 Versioning</w:t>
      </w:r>
    </w:p>
    <w:p>
      <w:pPr>
        <w:pStyle w:val="FirstParagraph"/>
      </w:pPr>
      <w:r>
        <w:t xml:space="preserve">The repository is versioned in a private Git server; the revision used for the build described here is</w:t>
      </w:r>
      <w:r>
        <w:t xml:space="preserve"> </w:t>
      </w:r>
      <w:r>
        <w:rPr>
          <w:rStyle w:val="VerbatimChar"/>
        </w:rPr>
        <w:t xml:space="preserve">2324b58</w:t>
      </w:r>
      <w:r>
        <w:t xml:space="preserve"> </w:t>
      </w:r>
      <w:r>
        <w:t xml:space="preserve">(October 28, 2026), which supersedes revision</w:t>
      </w:r>
      <w:r>
        <w:t xml:space="preserve"> </w:t>
      </w:r>
      <w:r>
        <w:rPr>
          <w:rStyle w:val="VerbatimChar"/>
        </w:rPr>
        <w:t xml:space="preserve">df7905d</w:t>
      </w:r>
      <w:r>
        <w:t xml:space="preserve"> </w:t>
      </w:r>
      <w:r>
        <w:t xml:space="preserve">examined in the June 2026 methodological study</w:t>
      </w:r>
      <w:r>
        <w:t xml:space="preserve"> </w:t>
      </w:r>
      <w:r>
        <w:t xml:space="preserve">(Tandjambianda et al. 2026)</w:t>
      </w:r>
      <w:r>
        <w:t xml:space="preserve">. Model and prompt versions are recorded in the extraction ledger as the backend name; the OpenAI model identifier returned by the API during the October run was</w:t>
      </w:r>
      <w:r>
        <w:t xml:space="preserve"> </w:t>
      </w:r>
      <w:r>
        <w:rPr>
          <w:rStyle w:val="VerbatimChar"/>
        </w:rPr>
        <w:t xml:space="preserve">gpt-4o-mini-2024-07-18</w:t>
      </w:r>
      <w:r>
        <w:t xml:space="preserve">. A hash of the prompt and of the taxonomy is</w:t>
      </w:r>
      <w:r>
        <w:t xml:space="preserve"> </w:t>
      </w:r>
      <w:r>
        <w:rPr>
          <w:i/>
          <w:iCs/>
        </w:rPr>
        <w:t xml:space="preserve">not</w:t>
      </w:r>
      <w:r>
        <w:t xml:space="preserve"> </w:t>
      </w:r>
      <w:r>
        <w:t xml:space="preserve">yet stored per run—an item on the audit list—so prompt identity is currently guaranteed by the Git revision rather than by a per-run digest.</w:t>
      </w:r>
    </w:p>
    <w:bookmarkEnd w:id="36"/>
    <w:bookmarkEnd w:id="37"/>
    <w:bookmarkStart w:id="43" w:name="Xe32f6adf50e7664436f57f0d92b2bc96162bece"/>
    <w:p>
      <w:pPr>
        <w:pStyle w:val="Heading1"/>
      </w:pPr>
      <w:r>
        <w:t xml:space="preserve">5 The Project Construct and the Extraction Contract</w:t>
      </w:r>
    </w:p>
    <w:bookmarkStart w:id="38" w:name="what-counts-as-a-project"/>
    <w:p>
      <w:pPr>
        <w:pStyle w:val="Heading2"/>
      </w:pPr>
      <w:r>
        <w:t xml:space="preserve">5.1 What counts as a project</w:t>
      </w:r>
    </w:p>
    <w:p>
      <w:pPr>
        <w:pStyle w:val="FirstParagraph"/>
      </w:pPr>
      <w:r>
        <w:t xml:space="preserve">The unit of measurement is a</w:t>
      </w:r>
      <w:r>
        <w:t xml:space="preserve"> </w:t>
      </w:r>
      <w:r>
        <w:rPr>
          <w:i/>
          <w:iCs/>
        </w:rPr>
        <w:t xml:space="preserve">distinct, identifiable, issuer-associated strategic initiative</w:t>
      </w:r>
      <w:r>
        <w:t xml:space="preserve"> </w:t>
      </w:r>
      <w:r>
        <w:t xml:space="preserve">involving a planned, announced, ongoing, completed, postponed or cancelled action: a plant expansion, a research program, a technology deployment, an AI initiative, a data-center build, a supply-chain transformation, an acquisition and its integration, a renewable-energy investment, and the other categories of the taxonomy. The database stores two tiers and, in its intended final form, five labels:</w:t>
      </w:r>
    </w:p>
    <w:p>
      <w:pPr>
        <w:numPr>
          <w:ilvl w:val="0"/>
          <w:numId w:val="1002"/>
        </w:numPr>
      </w:pPr>
      <w:r>
        <w:rPr>
          <w:rStyle w:val="VerbatimChar"/>
        </w:rPr>
        <w:t xml:space="preserve">project_mention</w:t>
      </w:r>
      <w:r>
        <w:t xml:space="preserve">: a particular sourced statement about an initiative, in one section of one filing, with the extracted fields and the model’s one-sentence description;</w:t>
      </w:r>
    </w:p>
    <w:p>
      <w:pPr>
        <w:numPr>
          <w:ilvl w:val="0"/>
          <w:numId w:val="1002"/>
        </w:numPr>
      </w:pPr>
      <w:r>
        <w:rPr>
          <w:rStyle w:val="VerbatimChar"/>
        </w:rPr>
        <w:t xml:space="preserve">project</w:t>
      </w:r>
      <w:r>
        <w:t xml:space="preserve">: a resolved initiative described by one or more mentions, carrying a stable identifier and a timeline;</w:t>
      </w:r>
    </w:p>
    <w:p>
      <w:pPr>
        <w:numPr>
          <w:ilvl w:val="0"/>
          <w:numId w:val="1002"/>
        </w:numPr>
      </w:pPr>
      <w:r>
        <w:rPr>
          <w:rStyle w:val="VerbatimChar"/>
        </w:rPr>
        <w:t xml:space="preserve">generic_strategy</w:t>
      </w:r>
      <w:r>
        <w:t xml:space="preserve">: non-specific aspirations (</w:t>
      </w:r>
      <w:r>
        <w:t xml:space="preserve">“we continue to invest in innovation”</w:t>
      </w:r>
      <w:r>
        <w:t xml:space="preserve">,</w:t>
      </w:r>
      <w:r>
        <w:t xml:space="preserve"> </w:t>
      </w:r>
      <w:r>
        <w:t xml:space="preserve">“we may pursue acquisitions”</w:t>
      </w:r>
      <w:r>
        <w:t xml:space="preserve">) that the contract instructs the model to exclude and that the resolver never sees unless the model fails to exclude them;</w:t>
      </w:r>
    </w:p>
    <w:p>
      <w:pPr>
        <w:numPr>
          <w:ilvl w:val="0"/>
          <w:numId w:val="1002"/>
        </w:numPr>
      </w:pPr>
      <w:r>
        <w:rPr>
          <w:rStyle w:val="VerbatimChar"/>
        </w:rPr>
        <w:t xml:space="preserve">historical_or_third_party_reference</w:t>
      </w:r>
      <w:r>
        <w:t xml:space="preserve">: initiatives of a competitor, a customer or a former parent, mentioned in the issuer’s filing but not attributable to the issuer;</w:t>
      </w:r>
    </w:p>
    <w:p>
      <w:pPr>
        <w:numPr>
          <w:ilvl w:val="0"/>
          <w:numId w:val="1002"/>
        </w:numPr>
      </w:pPr>
      <w:r>
        <w:rPr>
          <w:rStyle w:val="VerbatimChar"/>
        </w:rPr>
        <w:t xml:space="preserve">uncertain_candidate</w:t>
      </w:r>
      <w:r>
        <w:t xml:space="preserve">: a plausible initiative without enough identity evidence (no name, location, counterparty or amount) to be counted.</w:t>
      </w:r>
    </w:p>
    <w:p>
      <w:pPr>
        <w:pStyle w:val="FirstParagraph"/>
      </w:pPr>
      <w:r>
        <w:t xml:space="preserve">The current build implements the first two tiers directly. The third is enforced only through the prompt and the confidence threshold; the fourth and fifth exist as instructions and as a confidence score, not as stored labels. Promoting them to explicit columns of the mention table, filled by annotators and eventually by a classifier, is the first schema change proposed in</w:t>
      </w:r>
      <w:r>
        <w:t xml:space="preserve"> </w:t>
      </w:r>
      <w:r>
        <w:rPr>
          <w:rStyle w:val="VerbatimChar"/>
        </w:rPr>
        <w:t xml:space="preserve">docs/project_ontology.md</w:t>
      </w:r>
      <w:r>
        <w:t xml:space="preserve">.</w:t>
      </w:r>
    </w:p>
    <w:bookmarkEnd w:id="38"/>
    <w:bookmarkStart w:id="39" w:name="taxonomy"/>
    <w:p>
      <w:pPr>
        <w:pStyle w:val="Heading2"/>
      </w:pPr>
      <w:r>
        <w:t xml:space="preserve">5.2 Taxonomy</w:t>
      </w:r>
    </w:p>
    <w:p>
      <w:pPr>
        <w:pStyle w:val="FirstParagraph"/>
      </w:pPr>
      <w:r>
        <w:t xml:space="preserve">The SPID taxonomy has 21 categories (Table 11 in Appendix A), defined in</w:t>
      </w:r>
      <w:r>
        <w:t xml:space="preserve"> </w:t>
      </w:r>
      <w:r>
        <w:rPr>
          <w:rStyle w:val="VerbatimChar"/>
        </w:rPr>
        <w:t xml:space="preserve">spid/taxonomy.py</w:t>
      </w:r>
      <w:r>
        <w:t xml:space="preserve"> </w:t>
      </w:r>
      <w:r>
        <w:t xml:space="preserve">with a human-readable label and a set of lexical signals used by the rule-based extractor and by the candidate gate. The LLM extractor receives the 21 labels verbatim in its system prompt and must choose exactly one per project; a label outside the list is mapped back to the closest category by substring matching or, failing that, to</w:t>
      </w:r>
      <w:r>
        <w:t xml:space="preserve"> </w:t>
      </w:r>
      <w:r>
        <w:rPr>
          <w:rStyle w:val="VerbatimChar"/>
        </w:rPr>
        <w:t xml:space="preserve">technology_deployment</w:t>
      </w:r>
      <w:r>
        <w:t xml:space="preserve">. The categories are not mutually exclusive in substance (an acquired plant is both</w:t>
      </w:r>
      <w:r>
        <w:t xml:space="preserve"> </w:t>
      </w:r>
      <w:r>
        <w:rPr>
          <w:rStyle w:val="VerbatimChar"/>
        </w:rPr>
        <w:t xml:space="preserve">ma_integration</w:t>
      </w:r>
      <w:r>
        <w:t xml:space="preserve"> </w:t>
      </w:r>
      <w:r>
        <w:t xml:space="preserve">and</w:t>
      </w:r>
      <w:r>
        <w:t xml:space="preserve"> </w:t>
      </w:r>
      <w:r>
        <w:rPr>
          <w:rStyle w:val="VerbatimChar"/>
        </w:rPr>
        <w:t xml:space="preserve">plant_construction</w:t>
      </w:r>
      <w:r>
        <w:t xml:space="preserve">; a data center is also</w:t>
      </w:r>
      <w:r>
        <w:t xml:space="preserve"> </w:t>
      </w:r>
      <w:r>
        <w:rPr>
          <w:rStyle w:val="VerbatimChar"/>
        </w:rPr>
        <w:t xml:space="preserve">infrastructure</w:t>
      </w:r>
      <w:r>
        <w:t xml:space="preserve">), and the model’s choice in such cases is a classification decision we have not yet audited. We document the taxonomy as it stands rather than redesign it: any extension would be versioned, with a crosswalk from old to new codes, so that counts published under the current version remain reproducible.</w:t>
      </w:r>
    </w:p>
    <w:bookmarkEnd w:id="39"/>
    <w:bookmarkStart w:id="40" w:name="candidate-gating-and-focus-windows"/>
    <w:p>
      <w:pPr>
        <w:pStyle w:val="Heading2"/>
      </w:pPr>
      <w:r>
        <w:t xml:space="preserve">5.3 Candidate gating and focus windows</w:t>
      </w:r>
    </w:p>
    <w:p>
      <w:pPr>
        <w:pStyle w:val="FirstParagraph"/>
      </w:pPr>
      <w:r>
        <w:t xml:space="preserve">A section reaches the model only if it contains at least 30 words and matches a broad lexical gate (project, initiative, program, invest, expan-, construct, build, launch, develop, deploy, implement, acqui-, partner, facilit-, capacity, capital, migrat-, transform, pipeline, plant, data center, automat-, sustainab-, renewable, restructur-; see Appendix B). The gate is deliberately permissive—it exists to avoid paying for sections that cannot contain a project—and its false-negative rate is unknown; sampling rejected sections to estimate it is part of the validation plan. For sections longer than 9</w:t>
      </w:r>
      <w:r>
        <w:t xml:space="preserve">,</w:t>
      </w:r>
      <w:r>
        <w:t xml:space="preserve">000 characters, the extractor keeps windows of about 600 characters around each gate hit (merged when they overlap) up to a budget of roughly 9</w:t>
      </w:r>
      <w:r>
        <w:t xml:space="preserve">,</w:t>
      </w:r>
      <w:r>
        <w:t xml:space="preserve">000–12</w:t>
      </w:r>
      <w:r>
        <w:t xml:space="preserve">,</w:t>
      </w:r>
      <w:r>
        <w:t xml:space="preserve">600 characters, so that the cost per call is bounded regardless of section length. This</w:t>
      </w:r>
      <w:r>
        <w:t xml:space="preserve"> </w:t>
      </w:r>
      <w:r>
        <w:t xml:space="preserve">“focus”</w:t>
      </w:r>
      <w:r>
        <w:t xml:space="preserve"> </w:t>
      </w:r>
      <w:r>
        <w:t xml:space="preserve">step is the main source of</w:t>
      </w:r>
      <w:r>
        <w:t xml:space="preserve"> </w:t>
      </w:r>
      <w:r>
        <w:rPr>
          <w:i/>
          <w:iCs/>
        </w:rPr>
        <w:t xml:space="preserve">silent truncation</w:t>
      </w:r>
      <w:r>
        <w:t xml:space="preserve"> </w:t>
      </w:r>
      <w:r>
        <w:t xml:space="preserve">in the pipeline: a project described far from any gate word, or beyond the budget in a very long MD&amp;A, is never shown to the model. The 10-K MD&amp;A sections submitted have a median length of 9</w:t>
      </w:r>
      <w:r>
        <w:t xml:space="preserve">,</w:t>
      </w:r>
      <w:r>
        <w:t xml:space="preserve">905 words (roughly 60</w:t>
      </w:r>
      <w:r>
        <w:t xml:space="preserve">,</w:t>
      </w:r>
      <w:r>
        <w:t xml:space="preserve">000 characters), so truncation is the rule rather than the exception for annual reports, and the recall of the pipeline on long sections is an open empirical question.</w:t>
      </w:r>
    </w:p>
    <w:bookmarkEnd w:id="40"/>
    <w:bookmarkStart w:id="41" w:name="the-extraction-contract"/>
    <w:p>
      <w:pPr>
        <w:pStyle w:val="Heading2"/>
      </w:pPr>
      <w:r>
        <w:t xml:space="preserve">5.4 The extraction contract</w:t>
      </w:r>
    </w:p>
    <w:p>
      <w:pPr>
        <w:pStyle w:val="FirstParagraph"/>
      </w:pPr>
      <w:r>
        <w:t xml:space="preserve">The LLM call is a chat completion with a fixed system prompt, the section name and the focused text as user message, temperature 0, JSON-object output mode and a 2</w:t>
      </w:r>
      <w:r>
        <w:t xml:space="preserve">,</w:t>
      </w:r>
      <w:r>
        <w:t xml:space="preserve">000-token completion limit. The prompt (Appendix B) instructs the model to act as a financial analyst extracting corporate projects, lists the 21 allowed types, and returns a JSON object with one entry per project and the following fields:</w:t>
      </w:r>
      <w:r>
        <w:t xml:space="preserve"> </w:t>
      </w:r>
      <w:r>
        <w:rPr>
          <w:rStyle w:val="VerbatimChar"/>
        </w:rPr>
        <w:t xml:space="preserve">project_name</w:t>
      </w:r>
      <w:r>
        <w:t xml:space="preserve">,</w:t>
      </w:r>
      <w:r>
        <w:t xml:space="preserve"> </w:t>
      </w:r>
      <w:r>
        <w:rPr>
          <w:rStyle w:val="VerbatimChar"/>
        </w:rPr>
        <w:t xml:space="preserve">project_type</w:t>
      </w:r>
      <w:r>
        <w:t xml:space="preserve">,</w:t>
      </w:r>
      <w:r>
        <w:t xml:space="preserve"> </w:t>
      </w:r>
      <w:r>
        <w:rPr>
          <w:rStyle w:val="VerbatimChar"/>
        </w:rPr>
        <w:t xml:space="preserve">description</w:t>
      </w:r>
      <w:r>
        <w:t xml:space="preserve"> </w:t>
      </w:r>
      <w:r>
        <w:t xml:space="preserve">(one sentence grounded in the text),</w:t>
      </w:r>
      <w:r>
        <w:t xml:space="preserve"> </w:t>
      </w:r>
      <w:r>
        <w:rPr>
          <w:rStyle w:val="VerbatimChar"/>
        </w:rPr>
        <w:t xml:space="preserve">objective</w:t>
      </w:r>
      <w:r>
        <w:t xml:space="preserve">,</w:t>
      </w:r>
      <w:r>
        <w:t xml:space="preserve"> </w:t>
      </w:r>
      <w:r>
        <w:rPr>
          <w:rStyle w:val="VerbatimChar"/>
        </w:rPr>
        <w:t xml:space="preserve">status</w:t>
      </w:r>
      <w:r>
        <w:t xml:space="preserve"> </w:t>
      </w:r>
      <w:r>
        <w:t xml:space="preserve">(planned, in_progress, completed, mentioned),</w:t>
      </w:r>
      <w:r>
        <w:t xml:space="preserve"> </w:t>
      </w:r>
      <w:r>
        <w:rPr>
          <w:rStyle w:val="VerbatimChar"/>
        </w:rPr>
        <w:t xml:space="preserve">amount_usd</w:t>
      </w:r>
      <w:r>
        <w:t xml:space="preserve">,</w:t>
      </w:r>
      <w:r>
        <w:t xml:space="preserve"> </w:t>
      </w:r>
      <w:r>
        <w:rPr>
          <w:rStyle w:val="VerbatimChar"/>
        </w:rPr>
        <w:t xml:space="preserve">locations</w:t>
      </w:r>
      <w:r>
        <w:t xml:space="preserve">,</w:t>
      </w:r>
      <w:r>
        <w:t xml:space="preserve"> </w:t>
      </w:r>
      <w:r>
        <w:rPr>
          <w:rStyle w:val="VerbatimChar"/>
        </w:rPr>
        <w:t xml:space="preserve">technologies</w:t>
      </w:r>
      <w:r>
        <w:t xml:space="preserve">,</w:t>
      </w:r>
      <w:r>
        <w:t xml:space="preserve"> </w:t>
      </w:r>
      <w:r>
        <w:rPr>
          <w:rStyle w:val="VerbatimChar"/>
        </w:rPr>
        <w:t xml:space="preserve">partners</w:t>
      </w:r>
      <w:r>
        <w:t xml:space="preserve">,</w:t>
      </w:r>
      <w:r>
        <w:t xml:space="preserve"> </w:t>
      </w:r>
      <w:r>
        <w:rPr>
          <w:rStyle w:val="VerbatimChar"/>
        </w:rPr>
        <w:t xml:space="preserve">benefits</w:t>
      </w:r>
      <w:r>
        <w:t xml:space="preserve">,</w:t>
      </w:r>
      <w:r>
        <w:t xml:space="preserve"> </w:t>
      </w:r>
      <w:r>
        <w:rPr>
          <w:rStyle w:val="VerbatimChar"/>
        </w:rPr>
        <w:t xml:space="preserve">risks</w:t>
      </w:r>
      <w:r>
        <w:t xml:space="preserve">,</w:t>
      </w:r>
      <w:r>
        <w:t xml:space="preserve"> </w:t>
      </w:r>
      <w:r>
        <w:rPr>
          <w:rStyle w:val="VerbatimChar"/>
        </w:rPr>
        <w:t xml:space="preserve">years</w:t>
      </w:r>
      <w:r>
        <w:t xml:space="preserve"> </w:t>
      </w:r>
      <w:r>
        <w:t xml:space="preserve">and</w:t>
      </w:r>
      <w:r>
        <w:t xml:space="preserve"> </w:t>
      </w:r>
      <w:r>
        <w:rPr>
          <w:rStyle w:val="VerbatimChar"/>
        </w:rPr>
        <w:t xml:space="preserve">confidence</w:t>
      </w:r>
      <w:r>
        <w:t xml:space="preserve">. Four rules in the prompt define the construct operationally: extract only real initiatives, not boilerplate or hypotheticals; return an empty list when no concrete project is described; do not invent facts—numbers and locations must appear in the text; prefer fewer high-quality projects. Output is post-processed deterministically: amounts are coerced to a float in USD (with the raw string retained in</w:t>
      </w:r>
      <w:r>
        <w:t xml:space="preserve"> </w:t>
      </w:r>
      <w:r>
        <w:rPr>
          <w:rStyle w:val="VerbatimChar"/>
        </w:rPr>
        <w:t xml:space="preserve">amount_raw</w:t>
      </w:r>
      <w:r>
        <w:t xml:space="preserve">), list fields are truncated to eight items of at most 120 characters, years are parsed as four-digit integers, status is normalized, and mentions with confidence below 0.45 are dropped. The mention identifier is a SHA-1 of the accession number, section identifier, type and project name, so that re-running the extractor on the same section with the same output overwrites rather than duplicates.</w:t>
      </w:r>
    </w:p>
    <w:p>
      <w:pPr>
        <w:pStyle w:val="BodyText"/>
      </w:pPr>
      <w:r>
        <w:t xml:space="preserve">What the contract does</w:t>
      </w:r>
      <w:r>
        <w:t xml:space="preserve"> </w:t>
      </w:r>
      <w:r>
        <w:rPr>
          <w:i/>
          <w:iCs/>
        </w:rPr>
        <w:t xml:space="preserve">not</w:t>
      </w:r>
      <w:r>
        <w:t xml:space="preserve"> </w:t>
      </w:r>
      <w:r>
        <w:t xml:space="preserve">guarantee should be equally explicit. The</w:t>
      </w:r>
      <w:r>
        <w:t xml:space="preserve"> </w:t>
      </w:r>
      <w:r>
        <w:t xml:space="preserve">“description”</w:t>
      </w:r>
      <w:r>
        <w:t xml:space="preserve"> </w:t>
      </w:r>
      <w:r>
        <w:t xml:space="preserve">is a model paraphrase, not a verbatim quote, and the character span of the supporting passage is not stored; grounding is therefore verifiable by a reader who opens the section, but not mechanically checkable. The model may extract a counterparty’s initiative as the issuer’s (the third-party label above). It may split one initiative into several entries when a section describes phases, or merge phases into one. It receives no information about the issuer other than the text, which protects against hallucinated background knowledge but also prevents it from recognizing a subsidiary name. And the same section is seen once; a project described across two sections of the same filing yields two mentions with distinct identifiers.</w:t>
      </w:r>
    </w:p>
    <w:bookmarkEnd w:id="41"/>
    <w:bookmarkStart w:id="42" w:name="X49be19cde73abec1919e16df821f18a4b08863b"/>
    <w:p>
      <w:pPr>
        <w:pStyle w:val="Heading2"/>
      </w:pPr>
      <w:r>
        <w:t xml:space="preserve">5.5 Cost, throughput and the extraction ledger</w:t>
      </w:r>
    </w:p>
    <w:p>
      <w:pPr>
        <w:pStyle w:val="FirstParagraph"/>
      </w:pPr>
      <w:r>
        <w:t xml:space="preserve">The October 2026 run submitted 968</w:t>
      </w:r>
      <w:r>
        <w:t xml:space="preserve">,</w:t>
      </w:r>
      <w:r>
        <w:t xml:space="preserve">134 sections in about twelve hours of effective extraction (48 concurrent calls, 27–36 sections per second), at a cost of roughly 775 USD for the full universe at current</w:t>
      </w:r>
      <w:r>
        <w:t xml:space="preserve"> </w:t>
      </w:r>
      <w:r>
        <w:rPr>
          <w:rStyle w:val="VerbatimChar"/>
        </w:rPr>
        <w:t xml:space="preserve">gpt-4o-mini</w:t>
      </w:r>
      <w:r>
        <w:t xml:space="preserve"> </w:t>
      </w:r>
      <w:r>
        <w:t xml:space="preserve">prices (about 0.0008 USD per section). Every submitted section is written to an</w:t>
      </w:r>
      <w:r>
        <w:t xml:space="preserve"> </w:t>
      </w:r>
      <w:r>
        <w:rPr>
          <w:rStyle w:val="VerbatimChar"/>
        </w:rPr>
        <w:t xml:space="preserve">extracted_sections</w:t>
      </w:r>
      <w:r>
        <w:t xml:space="preserve"> </w:t>
      </w:r>
      <w:r>
        <w:t xml:space="preserve">ledger (section, accession, backend, number of mentions, timestamp), which makes the step resumable and prevents double billing. The ledger also protects against a failure mode encountered during the run: when the API key’s credit balance was exhausted, the extractor’s retry logic returned empty results that were recorded as</w:t>
      </w:r>
      <w:r>
        <w:t xml:space="preserve"> </w:t>
      </w:r>
      <w:r>
        <w:t xml:space="preserve">“extracted with zero mentions”</w:t>
      </w:r>
      <w:r>
        <w:t xml:space="preserve"> </w:t>
      </w:r>
      <w:r>
        <w:t xml:space="preserve">for 149</w:t>
      </w:r>
      <w:r>
        <w:t xml:space="preserve">,</w:t>
      </w:r>
      <w:r>
        <w:t xml:space="preserve">352 sections before the problem was detected. Those rows were removed from the ledger using the timestamp of the first quota error and the sections were re-submitted; the final ledger has no section processed during the outage. The episode is recorded in the research log because it illustrates a general point: a ledger that cannot distinguish</w:t>
      </w:r>
      <w:r>
        <w:t xml:space="preserve"> </w:t>
      </w:r>
      <w:r>
        <w:t xml:space="preserve">“no project”</w:t>
      </w:r>
      <w:r>
        <w:t xml:space="preserve"> </w:t>
      </w:r>
      <w:r>
        <w:t xml:space="preserve">from</w:t>
      </w:r>
      <w:r>
        <w:t xml:space="preserve"> </w:t>
      </w:r>
      <w:r>
        <w:t xml:space="preserve">“call failed”</w:t>
      </w:r>
      <w:r>
        <w:t xml:space="preserve"> </w:t>
      </w:r>
      <w:r>
        <w:t xml:space="preserve">is not sufficient, and an explicit</w:t>
      </w:r>
      <w:r>
        <w:t xml:space="preserve"> </w:t>
      </w:r>
      <w:r>
        <w:rPr>
          <w:rStyle w:val="VerbatimChar"/>
        </w:rPr>
        <w:t xml:space="preserve">call_status</w:t>
      </w:r>
      <w:r>
        <w:t xml:space="preserve"> </w:t>
      </w:r>
      <w:r>
        <w:t xml:space="preserve">column is now part of the proposed schema.</w:t>
      </w:r>
    </w:p>
    <w:bookmarkEnd w:id="42"/>
    <w:bookmarkEnd w:id="43"/>
    <w:bookmarkStart w:id="48" w:name="resolution-timelines-and-amounts"/>
    <w:p>
      <w:pPr>
        <w:pStyle w:val="Heading1"/>
      </w:pPr>
      <w:r>
        <w:t xml:space="preserve">6 Resolution, Timelines and Amounts</w:t>
      </w:r>
    </w:p>
    <w:bookmarkStart w:id="44" w:name="the-resolution-rule"/>
    <w:p>
      <w:pPr>
        <w:pStyle w:val="Heading2"/>
      </w:pPr>
      <w:r>
        <w:t xml:space="preserve">6.1 The resolution rule</w:t>
      </w:r>
    </w:p>
    <w:p>
      <w:pPr>
        <w:pStyle w:val="FirstParagraph"/>
      </w:pPr>
      <w:r>
        <w:t xml:space="preserve">Mentions are grouped into projects by a deterministic key computed in SQL (</w:t>
      </w:r>
      <w:r>
        <w:rPr>
          <w:rStyle w:val="VerbatimChar"/>
        </w:rPr>
        <w:t xml:space="preserve">spid/resolve.py</w:t>
      </w:r>
      <w:r>
        <w:t xml:space="preserve">): the issuer CIK, the project type, and either the lower-cased first location of the mention or, when no location was extracted, the first token of at least four letters in the normalized project name (</w:t>
      </w:r>
      <w:r>
        <w:t xml:space="preserve">“general”</w:t>
      </w:r>
      <w:r>
        <w:t xml:space="preserve"> </w:t>
      </w:r>
      <w:r>
        <w:t xml:space="preserve">when none exists). The project identifier is the MD5 hash of that key. Within a group, the representative name and description are those of the highest-confidence mention, the canonical location is the group’s location token, the technologies are the union of the mentions’ technologies, the status is that of the</w:t>
      </w:r>
      <w:r>
        <w:t xml:space="preserve"> </w:t>
      </w:r>
      <w:r>
        <w:rPr>
          <w:i/>
          <w:iCs/>
        </w:rPr>
        <w:t xml:space="preserve">latest</w:t>
      </w:r>
      <w:r>
        <w:t xml:space="preserve"> </w:t>
      </w:r>
      <w:r>
        <w:t xml:space="preserve">mention by filing date, the amount is the</w:t>
      </w:r>
      <w:r>
        <w:t xml:space="preserve"> </w:t>
      </w:r>
      <w:r>
        <w:rPr>
          <w:i/>
          <w:iCs/>
        </w:rPr>
        <w:t xml:space="preserve">maximum</w:t>
      </w:r>
      <w:r>
        <w:t xml:space="preserve"> </w:t>
      </w:r>
      <w:r>
        <w:t xml:space="preserve">across mentions, and the timeline is the ordered list of mentions with their filing date, form, status, amount, confidence and snippet. First and last cited years are the minimum and maximum of the years mentioned in the text; first and last</w:t>
      </w:r>
      <w:r>
        <w:t xml:space="preserve"> </w:t>
      </w:r>
      <w:r>
        <w:rPr>
          <w:i/>
          <w:iCs/>
        </w:rPr>
        <w:t xml:space="preserve">seen</w:t>
      </w:r>
      <w:r>
        <w:t xml:space="preserve"> </w:t>
      </w:r>
      <w:r>
        <w:t xml:space="preserve">are the filing dates of the earliest and latest mention.</w:t>
      </w:r>
    </w:p>
    <w:p>
      <w:pPr>
        <w:pStyle w:val="BodyText"/>
      </w:pPr>
      <w:r>
        <w:t xml:space="preserve">The rule is transparent, cheap and reversible (the mentions are untouched), and it behaves well for the common case of a recurring physical program at one site. Its failure modes are equally clear:</w:t>
      </w:r>
    </w:p>
    <w:p>
      <w:pPr>
        <w:numPr>
          <w:ilvl w:val="0"/>
          <w:numId w:val="1003"/>
        </w:numPr>
      </w:pPr>
      <w:r>
        <w:rPr>
          <w:b/>
          <w:bCs/>
        </w:rPr>
        <w:t xml:space="preserve">False merges.</w:t>
      </w:r>
      <w:r>
        <w:t xml:space="preserve"> </w:t>
      </w:r>
      <w:r>
        <w:t xml:space="preserve">All mentions of one type at one location collapse into one project: every acquisition closed by a serial acquirer in the same city, every expansion of a multi-phase site (the Cheniere example of Table 9), every drug candidate of a pharmaceutical company with no location, which fall back to a name token that is often shared (</w:t>
      </w:r>
      <w:r>
        <w:t xml:space="preserve">“phase”</w:t>
      </w:r>
      <w:r>
        <w:t xml:space="preserve">,</w:t>
      </w:r>
      <w:r>
        <w:t xml:space="preserve"> </w:t>
      </w:r>
      <w:r>
        <w:t xml:space="preserve">“program”</w:t>
      </w:r>
      <w:r>
        <w:t xml:space="preserve">,</w:t>
      </w:r>
      <w:r>
        <w:t xml:space="preserve"> </w:t>
      </w:r>
      <w:r>
        <w:t xml:space="preserve">“study”</w:t>
      </w:r>
      <w:r>
        <w:t xml:space="preserve">). The mean of 4.99 mentions per</w:t>
      </w:r>
      <w:r>
        <w:t xml:space="preserve"> </w:t>
      </w:r>
      <w:r>
        <w:rPr>
          <w:rStyle w:val="VerbatimChar"/>
        </w:rPr>
        <w:t xml:space="preserve">drug_pipeline</w:t>
      </w:r>
      <w:r>
        <w:t xml:space="preserve"> </w:t>
      </w:r>
      <w:r>
        <w:t xml:space="preserve">project versus 1.63 for</w:t>
      </w:r>
      <w:r>
        <w:t xml:space="preserve"> </w:t>
      </w:r>
      <w:r>
        <w:rPr>
          <w:rStyle w:val="VerbatimChar"/>
        </w:rPr>
        <w:t xml:space="preserve">technology_deployment</w:t>
      </w:r>
      <w:r>
        <w:t xml:space="preserve"> </w:t>
      </w:r>
      <w:r>
        <w:t xml:space="preserve">partly reflects this.</w:t>
      </w:r>
    </w:p>
    <w:p>
      <w:pPr>
        <w:numPr>
          <w:ilvl w:val="0"/>
          <w:numId w:val="1003"/>
        </w:numPr>
      </w:pPr>
      <w:r>
        <w:rPr>
          <w:b/>
          <w:bCs/>
        </w:rPr>
        <w:t xml:space="preserve">False splits.</w:t>
      </w:r>
      <w:r>
        <w:t xml:space="preserve"> </w:t>
      </w:r>
      <w:r>
        <w:t xml:space="preserve">The same initiative named differently across filings (</w:t>
      </w:r>
      <w:r>
        <w:t xml:space="preserve">“Project Atlas”</w:t>
      </w:r>
      <w:r>
        <w:t xml:space="preserve"> </w:t>
      </w:r>
      <w:r>
        <w:t xml:space="preserve">in 2019,</w:t>
      </w:r>
      <w:r>
        <w:t xml:space="preserve"> </w:t>
      </w:r>
      <w:r>
        <w:t xml:space="preserve">“our ERP transformation”</w:t>
      </w:r>
      <w:r>
        <w:t xml:space="preserve"> </w:t>
      </w:r>
      <w:r>
        <w:t xml:space="preserve">in 2021) or located at a different granularity (</w:t>
      </w:r>
      <w:r>
        <w:t xml:space="preserve">“Texas”</w:t>
      </w:r>
      <w:r>
        <w:t xml:space="preserve"> </w:t>
      </w:r>
      <w:r>
        <w:t xml:space="preserve">vs.</w:t>
      </w:r>
      <w:r>
        <w:t xml:space="preserve"> </w:t>
      </w:r>
      <w:r>
        <w:t xml:space="preserve">“Austin, Texas”</w:t>
      </w:r>
      <w:r>
        <w:t xml:space="preserve">) yields distinct keys; so does a change of category by the model.</w:t>
      </w:r>
    </w:p>
    <w:p>
      <w:pPr>
        <w:numPr>
          <w:ilvl w:val="0"/>
          <w:numId w:val="1003"/>
        </w:numPr>
      </w:pPr>
      <w:r>
        <w:rPr>
          <w:b/>
          <w:bCs/>
        </w:rPr>
        <w:t xml:space="preserve">No cross-issuer identity.</w:t>
      </w:r>
      <w:r>
        <w:t xml:space="preserve"> </w:t>
      </w:r>
      <w:r>
        <w:t xml:space="preserve">A joint venture disclosed by both partners is two projects; a project inherited through an acquisition is a new project of the acquirer.</w:t>
      </w:r>
    </w:p>
    <w:p>
      <w:pPr>
        <w:pStyle w:val="FirstParagraph"/>
      </w:pPr>
      <w:r>
        <w:t xml:space="preserve">The 60.2% of projects with a single mention are the population in which false splits, true one-off disclosures and false positives are mixed, and the projects with more than ten mentions (3.1%) are where false merges concentrate. The brief’s requirement—explainable, reversible merge/split decisions with match scores, resolver version and human adjudication of ambiguous clusters—is not met by the current rule and is the second schema change proposed: a</w:t>
      </w:r>
      <w:r>
        <w:t xml:space="preserve"> </w:t>
      </w:r>
      <w:r>
        <w:rPr>
          <w:rStyle w:val="VerbatimChar"/>
        </w:rPr>
        <w:t xml:space="preserve">project_mention_links</w:t>
      </w:r>
      <w:r>
        <w:t xml:space="preserve"> </w:t>
      </w:r>
      <w:r>
        <w:t xml:space="preserve">table with a match score and an adjudication status, fed first by the deterministic key (score 1 by construction) and then by a probabilistic linker that uses name similarity, embedding similarity, location and time, with ambiguous clusters routed to review.</w:t>
      </w:r>
    </w:p>
    <w:bookmarkEnd w:id="44"/>
    <w:bookmarkStart w:id="45" w:name="timelines-and-point-in-time-structure"/>
    <w:p>
      <w:pPr>
        <w:pStyle w:val="Heading2"/>
      </w:pPr>
      <w:r>
        <w:t xml:space="preserve">6.2 Timelines and point-in-time structure</w:t>
      </w:r>
    </w:p>
    <w:p>
      <w:pPr>
        <w:pStyle w:val="FirstParagraph"/>
      </w:pPr>
      <w:r>
        <w:t xml:space="preserve">Each mention is dated by the filing date of its document, and each project by the filing dates of its first and last mentions and by the years cited in the text. This is a point-in-time structure in one specific sense: the state of a project</w:t>
      </w:r>
      <w:r>
        <w:t xml:space="preserve"> </w:t>
      </w:r>
      <w:r>
        <w:rPr>
          <w:i/>
          <w:iCs/>
        </w:rPr>
        <w:t xml:space="preserve">as known at</w:t>
      </w:r>
      <w:r>
        <w:t xml:space="preserve"> </w:t>
      </w:r>
      <w:r>
        <w:t xml:space="preserve">a filing date can be reconstructed by filtering the timeline to mentions filed on or before that date, and nothing in a later filing is used to alter an earlier mention. It is</w:t>
      </w:r>
      <w:r>
        <w:t xml:space="preserve"> </w:t>
      </w:r>
      <w:r>
        <w:rPr>
          <w:i/>
          <w:iCs/>
        </w:rPr>
        <w:t xml:space="preserve">not</w:t>
      </w:r>
      <w:r>
        <w:t xml:space="preserve"> </w:t>
      </w:r>
      <w:r>
        <w:t xml:space="preserve">yet the event structure the brief describes. The database does not separate first announcement, SEC acceptance timestamp (only the filing date is stored), referenced period, expected start, observed start, expected completion, realized completion and cancellation; cited years are stored as an unordered list without roles; and a project’s status is the latest statement rather than a dated transition. The proposed</w:t>
      </w:r>
      <w:r>
        <w:t xml:space="preserve"> </w:t>
      </w:r>
      <w:r>
        <w:rPr>
          <w:rStyle w:val="VerbatimChar"/>
        </w:rPr>
        <w:t xml:space="preserve">project_events</w:t>
      </w:r>
      <w:r>
        <w:t xml:space="preserve"> </w:t>
      </w:r>
      <w:r>
        <w:t xml:space="preserve">table (Appendix C) would record each such event with its date, its evidence mention and a flag distinguishing information available at the acceptance date from information revised later.</w:t>
      </w:r>
    </w:p>
    <w:bookmarkEnd w:id="45"/>
    <w:bookmarkStart w:id="46" w:name="amounts"/>
    <w:p>
      <w:pPr>
        <w:pStyle w:val="Heading2"/>
      </w:pPr>
      <w:r>
        <w:t xml:space="preserve">6.3 Amounts</w:t>
      </w:r>
    </w:p>
    <w:p>
      <w:pPr>
        <w:pStyle w:val="FirstParagraph"/>
      </w:pPr>
      <w:r>
        <w:t xml:space="preserve">The amount of a mention is whatever USD figure the model associated with the project in the passage, coerced to a float; the raw string is retained. The project-level</w:t>
      </w:r>
      <w:r>
        <w:t xml:space="preserve"> </w:t>
      </w:r>
      <w:r>
        <w:rPr>
          <w:rStyle w:val="VerbatimChar"/>
        </w:rPr>
        <w:t xml:space="preserve">total_amount_usd</w:t>
      </w:r>
      <w:r>
        <w:t xml:space="preserve"> </w:t>
      </w:r>
      <w:r>
        <w:t xml:space="preserve">is the</w:t>
      </w:r>
      <w:r>
        <w:t xml:space="preserve"> </w:t>
      </w:r>
      <w:r>
        <w:rPr>
          <w:i/>
          <w:iCs/>
        </w:rPr>
        <w:t xml:space="preserve">maximum</w:t>
      </w:r>
      <w:r>
        <w:t xml:space="preserve"> </w:t>
      </w:r>
      <w:r>
        <w:t xml:space="preserve">over mentions, chosen in the June 2026 release because the same budget is typically restated in successive filings and summing would multiply it by the number of mentions. The maximum avoids that error but introduces others: it cannot tell a transaction price from a capex budget, a contract value from a financing facility, an incurred cost from an estimate, or a figure for the whole program from a figure for one phase, and it is silently inflated when a merged project combines distinct initiatives. We therefore insist on two reading rules. First,</w:t>
      </w:r>
      <w:r>
        <w:t xml:space="preserve"> </w:t>
      </w:r>
      <w:r>
        <w:rPr>
          <w:rStyle w:val="VerbatimChar"/>
        </w:rPr>
        <w:t xml:space="preserve">total_amount_usd</w:t>
      </w:r>
      <w:r>
        <w:t xml:space="preserve"> </w:t>
      </w:r>
      <w:r>
        <w:t xml:space="preserve">is</w:t>
      </w:r>
      <w:r>
        <w:t xml:space="preserve"> </w:t>
      </w:r>
      <w:r>
        <w:t xml:space="preserve">“the largest amount an issuer cited in connection with this project”</w:t>
      </w:r>
      <w:r>
        <w:t xml:space="preserve">, nothing more. Second, amounts must never be summed across projects or interpreted as realized investment. The proposed</w:t>
      </w:r>
      <w:r>
        <w:t xml:space="preserve"> </w:t>
      </w:r>
      <w:r>
        <w:rPr>
          <w:rStyle w:val="VerbatimChar"/>
        </w:rPr>
        <w:t xml:space="preserve">project_amounts</w:t>
      </w:r>
      <w:r>
        <w:t xml:space="preserve"> </w:t>
      </w:r>
      <w:r>
        <w:t xml:space="preserve">table keeps every amount mention with its original value, currency, scale, reporting date, an</w:t>
      </w:r>
      <w:r>
        <w:t xml:space="preserve"> </w:t>
      </w:r>
      <w:r>
        <w:rPr>
          <w:rStyle w:val="VerbatimChar"/>
        </w:rPr>
        <w:t xml:space="preserve">amount_type</w:t>
      </w:r>
      <w:r>
        <w:t xml:space="preserve"> </w:t>
      </w:r>
      <w:r>
        <w:t xml:space="preserve">(announced budget, estimated cost, capex incurred, transaction value, contract value, financing, other) and an estimate/realization flag; filling</w:t>
      </w:r>
      <w:r>
        <w:t xml:space="preserve"> </w:t>
      </w:r>
      <w:r>
        <w:rPr>
          <w:rStyle w:val="VerbatimChar"/>
        </w:rPr>
        <w:t xml:space="preserve">amount_type</w:t>
      </w:r>
      <w:r>
        <w:t xml:space="preserve"> </w:t>
      </w:r>
      <w:r>
        <w:t xml:space="preserve">requires either a second extraction pass or annotation, both of which are in the validation plan.</w:t>
      </w:r>
    </w:p>
    <w:bookmarkEnd w:id="46"/>
    <w:bookmarkStart w:id="47" w:name="data-model-current-and-proposed"/>
    <w:p>
      <w:pPr>
        <w:pStyle w:val="Heading2"/>
      </w:pPr>
      <w:r>
        <w:t xml:space="preserve">6.4 Data model: current and proposed</w:t>
      </w:r>
    </w:p>
    <w:p>
      <w:pPr>
        <w:pStyle w:val="FirstParagraph"/>
      </w:pPr>
      <w:r>
        <w:t xml:space="preserve">Table 12 in Appendix C lists the tables of the current build alongside the tables required by the brief and marks each as implemented, partial or proposed. In summary, the current</w:t>
      </w:r>
      <w:r>
        <w:t xml:space="preserve"> </w:t>
      </w:r>
      <w:r>
        <w:rPr>
          <w:rStyle w:val="VerbatimChar"/>
        </w:rPr>
        <w:t xml:space="preserve">companies</w:t>
      </w:r>
      <w:r>
        <w:t xml:space="preserve">,</w:t>
      </w:r>
      <w:r>
        <w:t xml:space="preserve"> </w:t>
      </w:r>
      <w:r>
        <w:rPr>
          <w:rStyle w:val="VerbatimChar"/>
        </w:rPr>
        <w:t xml:space="preserve">filings</w:t>
      </w:r>
      <w:r>
        <w:t xml:space="preserve">,</w:t>
      </w:r>
      <w:r>
        <w:t xml:space="preserve"> </w:t>
      </w:r>
      <w:r>
        <w:rPr>
          <w:rStyle w:val="VerbatimChar"/>
        </w:rPr>
        <w:t xml:space="preserve">filing_sections</w:t>
      </w:r>
      <w:r>
        <w:t xml:space="preserve">,</w:t>
      </w:r>
      <w:r>
        <w:t xml:space="preserve"> </w:t>
      </w:r>
      <w:r>
        <w:rPr>
          <w:rStyle w:val="VerbatimChar"/>
        </w:rPr>
        <w:t xml:space="preserve">project_mentions</w:t>
      </w:r>
      <w:r>
        <w:t xml:space="preserve">,</w:t>
      </w:r>
      <w:r>
        <w:t xml:space="preserve"> </w:t>
      </w:r>
      <w:r>
        <w:rPr>
          <w:rStyle w:val="VerbatimChar"/>
        </w:rPr>
        <w:t xml:space="preserve">projects</w:t>
      </w:r>
      <w:r>
        <w:t xml:space="preserve">,</w:t>
      </w:r>
      <w:r>
        <w:t xml:space="preserve"> </w:t>
      </w:r>
      <w:r>
        <w:rPr>
          <w:rStyle w:val="VerbatimChar"/>
        </w:rPr>
        <w:t xml:space="preserve">project_timeline</w:t>
      </w:r>
      <w:r>
        <w:t xml:space="preserve"> </w:t>
      </w:r>
      <w:r>
        <w:t xml:space="preserve">and</w:t>
      </w:r>
      <w:r>
        <w:t xml:space="preserve"> </w:t>
      </w:r>
      <w:r>
        <w:rPr>
          <w:rStyle w:val="VerbatimChar"/>
        </w:rPr>
        <w:t xml:space="preserve">extracted_sections</w:t>
      </w:r>
      <w:r>
        <w:t xml:space="preserve"> </w:t>
      </w:r>
      <w:r>
        <w:t xml:space="preserve">tables cover universe, filings, sections, mentions, projects, a timeline and an extraction ledger; the</w:t>
      </w:r>
      <w:r>
        <w:t xml:space="preserve"> </w:t>
      </w:r>
      <w:r>
        <w:rPr>
          <w:rStyle w:val="VerbatimChar"/>
        </w:rPr>
        <w:t xml:space="preserve">issuers</w:t>
      </w:r>
      <w:r>
        <w:t xml:space="preserve"> </w:t>
      </w:r>
      <w:r>
        <w:t xml:space="preserve">history,</w:t>
      </w:r>
      <w:r>
        <w:t xml:space="preserve"> </w:t>
      </w:r>
      <w:r>
        <w:rPr>
          <w:rStyle w:val="VerbatimChar"/>
        </w:rPr>
        <w:t xml:space="preserve">project_mention_links</w:t>
      </w:r>
      <w:r>
        <w:t xml:space="preserve">,</w:t>
      </w:r>
      <w:r>
        <w:t xml:space="preserve"> </w:t>
      </w:r>
      <w:r>
        <w:rPr>
          <w:rStyle w:val="VerbatimChar"/>
        </w:rPr>
        <w:t xml:space="preserve">project_events</w:t>
      </w:r>
      <w:r>
        <w:t xml:space="preserve">,</w:t>
      </w:r>
      <w:r>
        <w:t xml:space="preserve"> </w:t>
      </w:r>
      <w:r>
        <w:rPr>
          <w:rStyle w:val="VerbatimChar"/>
        </w:rPr>
        <w:t xml:space="preserve">project_amounts</w:t>
      </w:r>
      <w:r>
        <w:t xml:space="preserve">,</w:t>
      </w:r>
      <w:r>
        <w:t xml:space="preserve"> </w:t>
      </w:r>
      <w:r>
        <w:rPr>
          <w:rStyle w:val="VerbatimChar"/>
        </w:rPr>
        <w:t xml:space="preserve">extraction_runs</w:t>
      </w:r>
      <w:r>
        <w:t xml:space="preserve"> </w:t>
      </w:r>
      <w:r>
        <w:t xml:space="preserve">(with prompt, schema and taxonomy hashes) and</w:t>
      </w:r>
      <w:r>
        <w:t xml:space="preserve"> </w:t>
      </w:r>
      <w:r>
        <w:rPr>
          <w:rStyle w:val="VerbatimChar"/>
        </w:rPr>
        <w:t xml:space="preserve">human_labels</w:t>
      </w:r>
      <w:r>
        <w:t xml:space="preserve"> </w:t>
      </w:r>
      <w:r>
        <w:t xml:space="preserve">tables are proposed and would be added by migration, never by destructive replacement.</w:t>
      </w:r>
    </w:p>
    <w:bookmarkEnd w:id="47"/>
    <w:bookmarkEnd w:id="48"/>
    <w:bookmarkStart w:id="63" w:name="descriptive-patterns"/>
    <w:p>
      <w:pPr>
        <w:pStyle w:val="Heading1"/>
      </w:pPr>
      <w:r>
        <w:t xml:space="preserve">7 Descriptive Patterns</w:t>
      </w:r>
    </w:p>
    <w:p>
      <w:pPr>
        <w:pStyle w:val="FirstParagraph"/>
      </w:pPr>
      <w:r>
        <w:t xml:space="preserve">All numbers in this section are produced by</w:t>
      </w:r>
      <w:r>
        <w:t xml:space="preserve"> </w:t>
      </w:r>
      <w:r>
        <w:rPr>
          <w:rStyle w:val="VerbatimChar"/>
        </w:rPr>
        <w:t xml:space="preserve">code/export_stats.py</w:t>
      </w:r>
      <w:r>
        <w:t xml:space="preserve"> </w:t>
      </w:r>
      <w:r>
        <w:t xml:space="preserve">and</w:t>
      </w:r>
      <w:r>
        <w:t xml:space="preserve"> </w:t>
      </w:r>
      <w:r>
        <w:rPr>
          <w:rStyle w:val="VerbatimChar"/>
        </w:rPr>
        <w:t xml:space="preserve">code/make_tables.py</w:t>
      </w:r>
      <w:r>
        <w:t xml:space="preserve"> </w:t>
      </w:r>
      <w:r>
        <w:t xml:space="preserve">from the merged databases at revision</w:t>
      </w:r>
      <w:r>
        <w:t xml:space="preserve"> </w:t>
      </w:r>
      <w:r>
        <w:rPr>
          <w:rStyle w:val="VerbatimChar"/>
        </w:rPr>
        <w:t xml:space="preserve">2324b58</w:t>
      </w:r>
      <w:r>
        <w:t xml:space="preserve">; none is typed by hand. They describe</w:t>
      </w:r>
      <w:r>
        <w:t xml:space="preserve"> </w:t>
      </w:r>
      <w:r>
        <w:rPr>
          <w:i/>
          <w:iCs/>
        </w:rPr>
        <w:t xml:space="preserve">disclosed</w:t>
      </w:r>
      <w:r>
        <w:t xml:space="preserve"> </w:t>
      </w:r>
      <w:r>
        <w:t xml:space="preserve">initiatives as detected by the current pipeline and resolved by the current rule. They are not estimates of real-world project counts, and they have not yet been corrected for the extraction and linkage errors whose measurement is described in Section 8.</w:t>
      </w:r>
    </w:p>
    <w:bookmarkStart w:id="49" w:name="from-sections-to-projects"/>
    <w:p>
      <w:pPr>
        <w:pStyle w:val="Heading2"/>
      </w:pPr>
      <w:r>
        <w:t xml:space="preserve">7.1 From sections to projects</w:t>
      </w:r>
    </w:p>
    <w:p>
      <w:pPr>
        <w:pStyle w:val="FirstParagraph"/>
      </w:pPr>
      <w:r>
        <w:t xml:space="preserve">The extraction ledger contains 1</w:t>
      </w:r>
      <w:r>
        <w:t xml:space="preserve">,</w:t>
      </w:r>
      <w:r>
        <w:t xml:space="preserve">123</w:t>
      </w:r>
      <w:r>
        <w:t xml:space="preserve">,</w:t>
      </w:r>
      <w:r>
        <w:t xml:space="preserve">098 sections. The model returned at least one project for 168</w:t>
      </w:r>
      <w:r>
        <w:t xml:space="preserve">,</w:t>
      </w:r>
      <w:r>
        <w:t xml:space="preserve">230 of them (15.0%), yielding 308</w:t>
      </w:r>
      <w:r>
        <w:t xml:space="preserve">,</w:t>
      </w:r>
      <w:r>
        <w:t xml:space="preserve">065 mentions—0.27 per section on average and 1.83 per productive section. The density differs sharply by form and by item (Table 4): the MD&amp;A items of the 10-K and 10-Q produce 39</w:t>
      </w:r>
      <w:r>
        <w:t xml:space="preserve">,</w:t>
      </w:r>
      <w:r>
        <w:t xml:space="preserve">099 and 99</w:t>
      </w:r>
      <w:r>
        <w:t xml:space="preserve">,</w:t>
      </w:r>
      <w:r>
        <w:t xml:space="preserve">305 mentions respectively, Item 1 (Business) of the 10-K 30</w:t>
      </w:r>
      <w:r>
        <w:t xml:space="preserve">,</w:t>
      </w:r>
      <w:r>
        <w:t xml:space="preserve">492, and the 10-Q financial-statement notes 30</w:t>
      </w:r>
      <w:r>
        <w:t xml:space="preserve">,</w:t>
      </w:r>
      <w:r>
        <w:t xml:space="preserve">159, whereas risk-factor and market-risk items produce almost none despite their length. The 8-K body yields 74</w:t>
      </w:r>
      <w:r>
        <w:t xml:space="preserve">,</w:t>
      </w:r>
      <w:r>
        <w:t xml:space="preserve">594 mentions from 400</w:t>
      </w:r>
      <w:r>
        <w:t xml:space="preserve">,</w:t>
      </w:r>
      <w:r>
        <w:t xml:space="preserve">601 filings. Resolution reduces 308</w:t>
      </w:r>
      <w:r>
        <w:t xml:space="preserve">,</w:t>
      </w:r>
      <w:r>
        <w:t xml:space="preserve">065 mentions to 121</w:t>
      </w:r>
      <w:r>
        <w:t xml:space="preserve">,</w:t>
      </w:r>
      <w:r>
        <w:t xml:space="preserve">099 projects (2.54 mentions per project); 60.2% of projects rest on a single mention, 17.0% on two, and 8.2% on more than five (Table 7).</w:t>
      </w:r>
    </w:p>
    <w:p>
      <w:pPr>
        <w:pStyle w:val="TableCaption"/>
      </w:pPr>
      <w:r>
        <w:t xml:space="preserve">Table 4: Sections submitted and mentions obtained, by form and item</w:t>
      </w:r>
    </w:p>
    <w:tbl>
      <w:tblPr>
        <w:tblStyle w:val="Table"/>
        <w:tblW w:type="auto" w:w="0"/>
        <w:tblLook w:firstRow="1" w:lastRow="0" w:firstColumn="0" w:lastColumn="0" w:noHBand="0" w:noVBand="0" w:val="0020"/>
        <w:tblCaption w:val="Table 4: Sections submitted and mentions obtained, by form and item"/>
      </w:tblPr>
      <w:tblGrid>
        <w:gridCol w:w="1980"/>
        <w:gridCol w:w="1980"/>
        <w:gridCol w:w="1980"/>
        <w:gridCol w:w="1980"/>
      </w:tblGrid>
      <w:tr>
        <w:trPr>
          <w:tblHeader w:val="on"/>
        </w:trPr>
        <w:tc>
          <w:tcPr/>
          <w:p>
            <w:pPr>
              <w:pStyle w:val="Compact"/>
              <w:jc w:val="left"/>
            </w:pPr>
            <w:r>
              <w:t xml:space="preserve">Form</w:t>
            </w:r>
          </w:p>
        </w:tc>
        <w:tc>
          <w:tcPr/>
          <w:p>
            <w:pPr>
              <w:pStyle w:val="Compact"/>
              <w:jc w:val="left"/>
            </w:pPr>
            <w:r>
              <w:t xml:space="preserve">Section (item)</w:t>
            </w:r>
          </w:p>
        </w:tc>
        <w:tc>
          <w:tcPr/>
          <w:p>
            <w:pPr>
              <w:pStyle w:val="Compact"/>
              <w:jc w:val="right"/>
            </w:pPr>
            <w:r>
              <w:t xml:space="preserve">Sections extracted</w:t>
            </w:r>
          </w:p>
        </w:tc>
        <w:tc>
          <w:tcPr/>
          <w:p>
            <w:pPr>
              <w:pStyle w:val="Compact"/>
              <w:jc w:val="right"/>
            </w:pPr>
            <w:r>
              <w:t xml:space="preserve">Mentions</w:t>
            </w:r>
          </w:p>
        </w:tc>
      </w:tr>
      <w:tr>
        <w:tc>
          <w:tcPr/>
          <w:p>
            <w:pPr>
              <w:pStyle w:val="Compact"/>
              <w:jc w:val="left"/>
            </w:pPr>
            <w:r>
              <w:t xml:space="preserve">10-K</w:t>
            </w:r>
          </w:p>
        </w:tc>
        <w:tc>
          <w:tcPr/>
          <w:p>
            <w:pPr>
              <w:pStyle w:val="Compact"/>
              <w:jc w:val="left"/>
            </w:pPr>
            <w:r>
              <w:rPr>
                <w:rStyle w:val="VerbatimChar"/>
              </w:rPr>
              <w:t xml:space="preserve">business</w:t>
            </w:r>
          </w:p>
        </w:tc>
        <w:tc>
          <w:tcPr/>
          <w:p>
            <w:pPr>
              <w:pStyle w:val="Compact"/>
              <w:jc w:val="right"/>
            </w:pPr>
            <w:r>
              <w:t xml:space="preserve">29</w:t>
            </w:r>
            <w:r>
              <w:t xml:space="preserve">,</w:t>
            </w:r>
            <w:r>
              <w:t xml:space="preserve">285</w:t>
            </w:r>
          </w:p>
        </w:tc>
        <w:tc>
          <w:tcPr/>
          <w:p>
            <w:pPr>
              <w:pStyle w:val="Compact"/>
              <w:jc w:val="right"/>
            </w:pPr>
            <w:r>
              <w:t xml:space="preserve">30</w:t>
            </w:r>
            <w:r>
              <w:t xml:space="preserve">,</w:t>
            </w:r>
            <w:r>
              <w:t xml:space="preserve">492</w:t>
            </w:r>
          </w:p>
        </w:tc>
      </w:tr>
      <w:tr>
        <w:tc>
          <w:tcPr/>
          <w:p>
            <w:pPr>
              <w:pStyle w:val="Compact"/>
              <w:jc w:val="left"/>
            </w:pPr>
            <w:r>
              <w:t xml:space="preserve">10-K</w:t>
            </w:r>
          </w:p>
        </w:tc>
        <w:tc>
          <w:tcPr/>
          <w:p>
            <w:pPr>
              <w:pStyle w:val="Compact"/>
              <w:jc w:val="left"/>
            </w:pPr>
            <w:r>
              <w:rPr>
                <w:rStyle w:val="VerbatimChar"/>
              </w:rPr>
              <w:t xml:space="preserve">risk_factors</w:t>
            </w:r>
          </w:p>
        </w:tc>
        <w:tc>
          <w:tcPr/>
          <w:p>
            <w:pPr>
              <w:pStyle w:val="Compact"/>
              <w:jc w:val="right"/>
            </w:pPr>
            <w:r>
              <w:t xml:space="preserve">29</w:t>
            </w:r>
            <w:r>
              <w:t xml:space="preserve">,</w:t>
            </w:r>
            <w:r>
              <w:t xml:space="preserve">158</w:t>
            </w:r>
          </w:p>
        </w:tc>
        <w:tc>
          <w:tcPr/>
          <w:p>
            <w:pPr>
              <w:pStyle w:val="Compact"/>
              <w:jc w:val="right"/>
            </w:pPr>
            <w:r>
              <w:t xml:space="preserve">2</w:t>
            </w:r>
            <w:r>
              <w:t xml:space="preserve">,</w:t>
            </w:r>
            <w:r>
              <w:t xml:space="preserve">797</w:t>
            </w:r>
          </w:p>
        </w:tc>
      </w:tr>
      <w:tr>
        <w:tc>
          <w:tcPr/>
          <w:p>
            <w:pPr>
              <w:pStyle w:val="Compact"/>
              <w:jc w:val="left"/>
            </w:pPr>
            <w:r>
              <w:t xml:space="preserve">10-K</w:t>
            </w:r>
          </w:p>
        </w:tc>
        <w:tc>
          <w:tcPr/>
          <w:p>
            <w:pPr>
              <w:pStyle w:val="Compact"/>
              <w:jc w:val="left"/>
            </w:pPr>
            <w:r>
              <w:rPr>
                <w:rStyle w:val="VerbatimChar"/>
              </w:rPr>
              <w:t xml:space="preserve">md_and_a</w:t>
            </w:r>
          </w:p>
        </w:tc>
        <w:tc>
          <w:tcPr/>
          <w:p>
            <w:pPr>
              <w:pStyle w:val="Compact"/>
              <w:jc w:val="right"/>
            </w:pPr>
            <w:r>
              <w:t xml:space="preserve">28</w:t>
            </w:r>
            <w:r>
              <w:t xml:space="preserve">,</w:t>
            </w:r>
            <w:r>
              <w:t xml:space="preserve">919</w:t>
            </w:r>
          </w:p>
        </w:tc>
        <w:tc>
          <w:tcPr/>
          <w:p>
            <w:pPr>
              <w:pStyle w:val="Compact"/>
              <w:jc w:val="right"/>
            </w:pPr>
            <w:r>
              <w:t xml:space="preserve">39</w:t>
            </w:r>
            <w:r>
              <w:t xml:space="preserve">,</w:t>
            </w:r>
            <w:r>
              <w:t xml:space="preserve">099</w:t>
            </w:r>
          </w:p>
        </w:tc>
      </w:tr>
      <w:tr>
        <w:tc>
          <w:tcPr/>
          <w:p>
            <w:pPr>
              <w:pStyle w:val="Compact"/>
              <w:jc w:val="left"/>
            </w:pPr>
            <w:r>
              <w:t xml:space="preserve">10-K</w:t>
            </w:r>
          </w:p>
        </w:tc>
        <w:tc>
          <w:tcPr/>
          <w:p>
            <w:pPr>
              <w:pStyle w:val="Compact"/>
              <w:jc w:val="left"/>
            </w:pPr>
            <w:r>
              <w:rPr>
                <w:rStyle w:val="VerbatimChar"/>
              </w:rPr>
              <w:t xml:space="preserve">properties</w:t>
            </w:r>
          </w:p>
        </w:tc>
        <w:tc>
          <w:tcPr/>
          <w:p>
            <w:pPr>
              <w:pStyle w:val="Compact"/>
              <w:jc w:val="right"/>
            </w:pPr>
            <w:r>
              <w:t xml:space="preserve">28</w:t>
            </w:r>
            <w:r>
              <w:t xml:space="preserve">,</w:t>
            </w:r>
            <w:r>
              <w:t xml:space="preserve">236</w:t>
            </w:r>
          </w:p>
        </w:tc>
        <w:tc>
          <w:tcPr/>
          <w:p>
            <w:pPr>
              <w:pStyle w:val="Compact"/>
              <w:jc w:val="right"/>
            </w:pPr>
            <w:r>
              <w:t xml:space="preserve">7</w:t>
            </w:r>
            <w:r>
              <w:t xml:space="preserve">,</w:t>
            </w:r>
            <w:r>
              <w:t xml:space="preserve">879</w:t>
            </w:r>
          </w:p>
        </w:tc>
      </w:tr>
      <w:tr>
        <w:tc>
          <w:tcPr/>
          <w:p>
            <w:pPr>
              <w:pStyle w:val="Compact"/>
              <w:jc w:val="left"/>
            </w:pPr>
            <w:r>
              <w:t xml:space="preserve">10-K</w:t>
            </w:r>
          </w:p>
        </w:tc>
        <w:tc>
          <w:tcPr/>
          <w:p>
            <w:pPr>
              <w:pStyle w:val="Compact"/>
              <w:jc w:val="left"/>
            </w:pPr>
            <w:r>
              <w:rPr>
                <w:rStyle w:val="VerbatimChar"/>
              </w:rPr>
              <w:t xml:space="preserve">quantitative_disclosures</w:t>
            </w:r>
          </w:p>
        </w:tc>
        <w:tc>
          <w:tcPr/>
          <w:p>
            <w:pPr>
              <w:pStyle w:val="Compact"/>
              <w:jc w:val="right"/>
            </w:pPr>
            <w:r>
              <w:t xml:space="preserve">26</w:t>
            </w:r>
            <w:r>
              <w:t xml:space="preserve">,</w:t>
            </w:r>
            <w:r>
              <w:t xml:space="preserve">876</w:t>
            </w:r>
          </w:p>
        </w:tc>
        <w:tc>
          <w:tcPr/>
          <w:p>
            <w:pPr>
              <w:pStyle w:val="Compact"/>
              <w:jc w:val="right"/>
            </w:pPr>
            <w:r>
              <w:t xml:space="preserve">531</w:t>
            </w:r>
          </w:p>
        </w:tc>
      </w:tr>
      <w:tr>
        <w:tc>
          <w:tcPr/>
          <w:p>
            <w:pPr>
              <w:pStyle w:val="Compact"/>
              <w:jc w:val="left"/>
            </w:pPr>
            <w:r>
              <w:t xml:space="preserve">10-K</w:t>
            </w:r>
          </w:p>
        </w:tc>
        <w:tc>
          <w:tcPr/>
          <w:p>
            <w:pPr>
              <w:pStyle w:val="Compact"/>
              <w:jc w:val="left"/>
            </w:pPr>
            <w:r>
              <w:rPr>
                <w:rStyle w:val="VerbatimChar"/>
              </w:rPr>
              <w:t xml:space="preserve">full_body</w:t>
            </w:r>
          </w:p>
        </w:tc>
        <w:tc>
          <w:tcPr/>
          <w:p>
            <w:pPr>
              <w:pStyle w:val="Compact"/>
              <w:jc w:val="right"/>
            </w:pPr>
            <w:r>
              <w:t xml:space="preserve">1</w:t>
            </w:r>
            <w:r>
              <w:t xml:space="preserve">,</w:t>
            </w:r>
            <w:r>
              <w:t xml:space="preserve">230</w:t>
            </w:r>
          </w:p>
        </w:tc>
        <w:tc>
          <w:tcPr/>
          <w:p>
            <w:pPr>
              <w:pStyle w:val="Compact"/>
              <w:jc w:val="right"/>
            </w:pPr>
            <w:r>
              <w:t xml:space="preserve">824</w:t>
            </w:r>
          </w:p>
        </w:tc>
      </w:tr>
      <w:tr>
        <w:tc>
          <w:tcPr/>
          <w:p>
            <w:pPr>
              <w:pStyle w:val="Compact"/>
              <w:jc w:val="left"/>
            </w:pPr>
            <w:r>
              <w:t xml:space="preserve">10-Q</w:t>
            </w:r>
          </w:p>
        </w:tc>
        <w:tc>
          <w:tcPr/>
          <w:p>
            <w:pPr>
              <w:pStyle w:val="Compact"/>
              <w:jc w:val="left"/>
            </w:pPr>
            <w:r>
              <w:rPr>
                <w:rStyle w:val="VerbatimChar"/>
              </w:rPr>
              <w:t xml:space="preserve">controls_and_procedures</w:t>
            </w:r>
          </w:p>
        </w:tc>
        <w:tc>
          <w:tcPr/>
          <w:p>
            <w:pPr>
              <w:pStyle w:val="Compact"/>
              <w:jc w:val="right"/>
            </w:pPr>
            <w:r>
              <w:t xml:space="preserve">92</w:t>
            </w:r>
            <w:r>
              <w:t xml:space="preserve">,</w:t>
            </w:r>
            <w:r>
              <w:t xml:space="preserve">393</w:t>
            </w:r>
          </w:p>
        </w:tc>
        <w:tc>
          <w:tcPr/>
          <w:p>
            <w:pPr>
              <w:pStyle w:val="Compact"/>
              <w:jc w:val="right"/>
            </w:pPr>
            <w:r>
              <w:t xml:space="preserve">7</w:t>
            </w:r>
            <w:r>
              <w:t xml:space="preserve">,</w:t>
            </w:r>
            <w:r>
              <w:t xml:space="preserve">082</w:t>
            </w:r>
          </w:p>
        </w:tc>
      </w:tr>
      <w:tr>
        <w:tc>
          <w:tcPr/>
          <w:p>
            <w:pPr>
              <w:pStyle w:val="Compact"/>
              <w:jc w:val="left"/>
            </w:pPr>
            <w:r>
              <w:t xml:space="preserve">10-Q</w:t>
            </w:r>
          </w:p>
        </w:tc>
        <w:tc>
          <w:tcPr/>
          <w:p>
            <w:pPr>
              <w:pStyle w:val="Compact"/>
              <w:jc w:val="left"/>
            </w:pPr>
            <w:r>
              <w:rPr>
                <w:rStyle w:val="VerbatimChar"/>
              </w:rPr>
              <w:t xml:space="preserve">financial_statements</w:t>
            </w:r>
          </w:p>
        </w:tc>
        <w:tc>
          <w:tcPr/>
          <w:p>
            <w:pPr>
              <w:pStyle w:val="Compact"/>
              <w:jc w:val="right"/>
            </w:pPr>
            <w:r>
              <w:t xml:space="preserve">91</w:t>
            </w:r>
            <w:r>
              <w:t xml:space="preserve">,</w:t>
            </w:r>
            <w:r>
              <w:t xml:space="preserve">882</w:t>
            </w:r>
          </w:p>
        </w:tc>
        <w:tc>
          <w:tcPr/>
          <w:p>
            <w:pPr>
              <w:pStyle w:val="Compact"/>
              <w:jc w:val="right"/>
            </w:pPr>
            <w:r>
              <w:t xml:space="preserve">30</w:t>
            </w:r>
            <w:r>
              <w:t xml:space="preserve">,</w:t>
            </w:r>
            <w:r>
              <w:t xml:space="preserve">159</w:t>
            </w:r>
          </w:p>
        </w:tc>
      </w:tr>
      <w:tr>
        <w:tc>
          <w:tcPr/>
          <w:p>
            <w:pPr>
              <w:pStyle w:val="Compact"/>
              <w:jc w:val="left"/>
            </w:pPr>
            <w:r>
              <w:t xml:space="preserve">10-Q</w:t>
            </w:r>
          </w:p>
        </w:tc>
        <w:tc>
          <w:tcPr/>
          <w:p>
            <w:pPr>
              <w:pStyle w:val="Compact"/>
              <w:jc w:val="left"/>
            </w:pPr>
            <w:r>
              <w:rPr>
                <w:rStyle w:val="VerbatimChar"/>
              </w:rPr>
              <w:t xml:space="preserve">md_and_a</w:t>
            </w:r>
          </w:p>
        </w:tc>
        <w:tc>
          <w:tcPr/>
          <w:p>
            <w:pPr>
              <w:pStyle w:val="Compact"/>
              <w:jc w:val="right"/>
            </w:pPr>
            <w:r>
              <w:t xml:space="preserve">91</w:t>
            </w:r>
            <w:r>
              <w:t xml:space="preserve">,</w:t>
            </w:r>
            <w:r>
              <w:t xml:space="preserve">371</w:t>
            </w:r>
          </w:p>
        </w:tc>
        <w:tc>
          <w:tcPr/>
          <w:p>
            <w:pPr>
              <w:pStyle w:val="Compact"/>
              <w:jc w:val="right"/>
            </w:pPr>
            <w:r>
              <w:t xml:space="preserve">99</w:t>
            </w:r>
            <w:r>
              <w:t xml:space="preserve">,</w:t>
            </w:r>
            <w:r>
              <w:t xml:space="preserve">305</w:t>
            </w:r>
          </w:p>
        </w:tc>
      </w:tr>
      <w:tr>
        <w:tc>
          <w:tcPr/>
          <w:p>
            <w:pPr>
              <w:pStyle w:val="Compact"/>
              <w:jc w:val="left"/>
            </w:pPr>
            <w:r>
              <w:t xml:space="preserve">10-Q</w:t>
            </w:r>
          </w:p>
        </w:tc>
        <w:tc>
          <w:tcPr/>
          <w:p>
            <w:pPr>
              <w:pStyle w:val="Compact"/>
              <w:jc w:val="left"/>
            </w:pPr>
            <w:r>
              <w:rPr>
                <w:rStyle w:val="VerbatimChar"/>
              </w:rPr>
              <w:t xml:space="preserve">quantitative_disclosures</w:t>
            </w:r>
          </w:p>
        </w:tc>
        <w:tc>
          <w:tcPr/>
          <w:p>
            <w:pPr>
              <w:pStyle w:val="Compact"/>
              <w:jc w:val="right"/>
            </w:pPr>
            <w:r>
              <w:t xml:space="preserve">83</w:t>
            </w:r>
            <w:r>
              <w:t xml:space="preserve">,</w:t>
            </w:r>
            <w:r>
              <w:t xml:space="preserve">138</w:t>
            </w:r>
          </w:p>
        </w:tc>
        <w:tc>
          <w:tcPr/>
          <w:p>
            <w:pPr>
              <w:pStyle w:val="Compact"/>
              <w:jc w:val="right"/>
            </w:pPr>
            <w:r>
              <w:t xml:space="preserve">808</w:t>
            </w:r>
          </w:p>
        </w:tc>
      </w:tr>
      <w:tr>
        <w:tc>
          <w:tcPr/>
          <w:p>
            <w:pPr>
              <w:pStyle w:val="Compact"/>
              <w:jc w:val="left"/>
            </w:pPr>
            <w:r>
              <w:t xml:space="preserve">10-Q</w:t>
            </w:r>
          </w:p>
        </w:tc>
        <w:tc>
          <w:tcPr/>
          <w:p>
            <w:pPr>
              <w:pStyle w:val="Compact"/>
              <w:jc w:val="left"/>
            </w:pPr>
            <w:r>
              <w:rPr>
                <w:rStyle w:val="VerbatimChar"/>
              </w:rPr>
              <w:t xml:space="preserve">unregistered_sales</w:t>
            </w:r>
          </w:p>
        </w:tc>
        <w:tc>
          <w:tcPr/>
          <w:p>
            <w:pPr>
              <w:pStyle w:val="Compact"/>
              <w:jc w:val="right"/>
            </w:pPr>
            <w:r>
              <w:t xml:space="preserve">80</w:t>
            </w:r>
            <w:r>
              <w:t xml:space="preserve">,</w:t>
            </w:r>
            <w:r>
              <w:t xml:space="preserve">210</w:t>
            </w:r>
          </w:p>
        </w:tc>
        <w:tc>
          <w:tcPr/>
          <w:p>
            <w:pPr>
              <w:pStyle w:val="Compact"/>
              <w:jc w:val="right"/>
            </w:pPr>
            <w:r>
              <w:t xml:space="preserve">9</w:t>
            </w:r>
            <w:r>
              <w:t xml:space="preserve">,</w:t>
            </w:r>
            <w:r>
              <w:t xml:space="preserve">535</w:t>
            </w:r>
          </w:p>
        </w:tc>
      </w:tr>
      <w:tr>
        <w:tc>
          <w:tcPr/>
          <w:p>
            <w:pPr>
              <w:pStyle w:val="Compact"/>
              <w:jc w:val="left"/>
            </w:pPr>
            <w:r>
              <w:t xml:space="preserve">10-Q</w:t>
            </w:r>
          </w:p>
        </w:tc>
        <w:tc>
          <w:tcPr/>
          <w:p>
            <w:pPr>
              <w:pStyle w:val="Compact"/>
              <w:jc w:val="left"/>
            </w:pPr>
            <w:r>
              <w:rPr>
                <w:rStyle w:val="VerbatimChar"/>
              </w:rPr>
              <w:t xml:space="preserve">risk_factors</w:t>
            </w:r>
          </w:p>
        </w:tc>
        <w:tc>
          <w:tcPr/>
          <w:p>
            <w:pPr>
              <w:pStyle w:val="Compact"/>
              <w:jc w:val="right"/>
            </w:pPr>
            <w:r>
              <w:t xml:space="preserve">72</w:t>
            </w:r>
            <w:r>
              <w:t xml:space="preserve">,</w:t>
            </w:r>
            <w:r>
              <w:t xml:space="preserve">560</w:t>
            </w:r>
          </w:p>
        </w:tc>
        <w:tc>
          <w:tcPr/>
          <w:p>
            <w:pPr>
              <w:pStyle w:val="Compact"/>
              <w:jc w:val="right"/>
            </w:pPr>
            <w:r>
              <w:t xml:space="preserve">4</w:t>
            </w:r>
            <w:r>
              <w:t xml:space="preserve">,</w:t>
            </w:r>
            <w:r>
              <w:t xml:space="preserve">420</w:t>
            </w:r>
          </w:p>
        </w:tc>
      </w:tr>
      <w:tr>
        <w:tc>
          <w:tcPr/>
          <w:p>
            <w:pPr>
              <w:pStyle w:val="Compact"/>
              <w:jc w:val="left"/>
            </w:pPr>
            <w:r>
              <w:t xml:space="preserve">10-Q</w:t>
            </w:r>
          </w:p>
        </w:tc>
        <w:tc>
          <w:tcPr/>
          <w:p>
            <w:pPr>
              <w:pStyle w:val="Compact"/>
              <w:jc w:val="left"/>
            </w:pPr>
            <w:r>
              <w:rPr>
                <w:rStyle w:val="VerbatimChar"/>
              </w:rPr>
              <w:t xml:space="preserve">legal_proceedings</w:t>
            </w:r>
          </w:p>
        </w:tc>
        <w:tc>
          <w:tcPr/>
          <w:p>
            <w:pPr>
              <w:pStyle w:val="Compact"/>
              <w:jc w:val="right"/>
            </w:pPr>
            <w:r>
              <w:t xml:space="preserve">66</w:t>
            </w:r>
            <w:r>
              <w:t xml:space="preserve">,</w:t>
            </w:r>
            <w:r>
              <w:t xml:space="preserve">998</w:t>
            </w:r>
          </w:p>
        </w:tc>
        <w:tc>
          <w:tcPr/>
          <w:p>
            <w:pPr>
              <w:pStyle w:val="Compact"/>
              <w:jc w:val="right"/>
            </w:pPr>
            <w:r>
              <w:t xml:space="preserve">845</w:t>
            </w:r>
          </w:p>
        </w:tc>
      </w:tr>
      <w:tr>
        <w:tc>
          <w:tcPr/>
          <w:p>
            <w:pPr>
              <w:pStyle w:val="Compact"/>
              <w:jc w:val="left"/>
            </w:pPr>
            <w:r>
              <w:t xml:space="preserve">10-Q</w:t>
            </w:r>
          </w:p>
        </w:tc>
        <w:tc>
          <w:tcPr/>
          <w:p>
            <w:pPr>
              <w:pStyle w:val="Compact"/>
              <w:jc w:val="left"/>
            </w:pPr>
            <w:r>
              <w:rPr>
                <w:rStyle w:val="VerbatimChar"/>
              </w:rPr>
              <w:t xml:space="preserve">full_document</w:t>
            </w:r>
          </w:p>
        </w:tc>
        <w:tc>
          <w:tcPr/>
          <w:p>
            <w:pPr>
              <w:pStyle w:val="Compact"/>
              <w:jc w:val="right"/>
            </w:pPr>
            <w:r>
              <w:t xml:space="preserve">241</w:t>
            </w:r>
          </w:p>
        </w:tc>
        <w:tc>
          <w:tcPr/>
          <w:p>
            <w:pPr>
              <w:pStyle w:val="Compact"/>
              <w:jc w:val="right"/>
            </w:pPr>
            <w:r>
              <w:t xml:space="preserve">107</w:t>
            </w:r>
          </w:p>
        </w:tc>
      </w:tr>
    </w:tbl>
    <w:p>
      <w:pPr>
        <w:pStyle w:val="BodyText"/>
      </w:pPr>
      <w:r>
        <w:rPr>
          <w:i/>
          <w:iCs/>
        </w:rPr>
        <w:t xml:space="preserve">Notes:</w:t>
      </w:r>
      <w:r>
        <w:t xml:space="preserve"> </w:t>
      </w:r>
      <w:r>
        <w:t xml:space="preserve">8-K filings (400</w:t>
      </w:r>
      <w:r>
        <w:t xml:space="preserve">,</w:t>
      </w:r>
      <w:r>
        <w:t xml:space="preserve">601 sections, 74</w:t>
      </w:r>
      <w:r>
        <w:t xml:space="preserve">,</w:t>
      </w:r>
      <w:r>
        <w:t xml:space="preserve">594 mentions) are a single</w:t>
      </w:r>
      <w:r>
        <w:t xml:space="preserve"> </w:t>
      </w:r>
      <w:r>
        <w:rPr>
          <w:rStyle w:val="VerbatimChar"/>
        </w:rPr>
        <w:t xml:space="preserve">full_body</w:t>
      </w:r>
      <w:r>
        <w:t xml:space="preserve"> </w:t>
      </w:r>
      <w:r>
        <w:t xml:space="preserve">section each and are omitted from the table.</w:t>
      </w:r>
      <w:r>
        <w:t xml:space="preserve"> </w:t>
      </w:r>
      <w:r>
        <w:rPr>
          <w:rStyle w:val="VerbatimChar"/>
        </w:rPr>
        <w:t xml:space="preserve">full_body</w:t>
      </w:r>
      <w:r>
        <w:t xml:space="preserve">/</w:t>
      </w:r>
      <w:r>
        <w:rPr>
          <w:rStyle w:val="VerbatimChar"/>
        </w:rPr>
        <w:t xml:space="preserve">full_document</w:t>
      </w:r>
      <w:r>
        <w:t xml:space="preserve"> </w:t>
      </w:r>
      <w:r>
        <w:t xml:space="preserve">rows are filings in which no Item heading was recognized.</w:t>
      </w:r>
    </w:p>
    <w:bookmarkEnd w:id="49"/>
    <w:bookmarkStart w:id="53" w:name="X4d950d49871e2da11b7c67629f7c2175ff8c1d3"/>
    <w:p>
      <w:pPr>
        <w:pStyle w:val="Heading2"/>
      </w:pPr>
      <w:r>
        <w:t xml:space="preserve">7.2 Composition by category, sector and status</w:t>
      </w:r>
    </w:p>
    <w:p>
      <w:pPr>
        <w:pStyle w:val="FirstParagraph"/>
      </w:pPr>
      <w:r>
        <w:t xml:space="preserve">Table 5 and Figure 3 show the distribution over the 21 categories. M&amp;A and post-merger integration dominate (34.5% of projects), followed by capital-expenditure programs (8.9%), strategic partnerships (8.2%), geographic expansion (6.5%) and plant or site construction (6.3%). The technology-related categories that motivated the first SPID release—data centers, AI initiatives, cloud migration, automation—are small in count (between 264 and 449 projects each) but carry high disclosed amounts (median 128–166 M USD for data centers and AI initiatives). Two readings of this composition are possible and the data do not discriminate between them: either acquisitions are genuinely the most frequently disclosed discrete initiative in SEC filings, which is plausible given that every material acquisition triggers an 8-K and recurring 10-Q notes; or the extraction contract, which asks for</w:t>
      </w:r>
      <w:r>
        <w:t xml:space="preserve"> </w:t>
      </w:r>
      <w:r>
        <w:t xml:space="preserve">“concrete initiatives”</w:t>
      </w:r>
      <w:r>
        <w:t xml:space="preserve">, is more easily satisfied by acquisitions (named counterparty, date, price) than by internal programs. Disentangling the two is a question for the human-annotation study.</w:t>
      </w:r>
    </w:p>
    <w:p>
      <w:pPr>
        <w:pStyle w:val="TableCaption"/>
      </w:pPr>
      <w:r>
        <w:t xml:space="preserve">Table 5: Resolved projects by category</w:t>
      </w:r>
    </w:p>
    <w:tbl>
      <w:tblPr>
        <w:tblStyle w:val="Table"/>
        <w:tblW w:type="dxa" w:w="9792"/>
        <w:tblLayout w:type="fixed"/>
        <w:tblLook w:firstRow="1" w:lastRow="0" w:firstColumn="0" w:lastColumn="0" w:noHBand="0" w:noVBand="0" w:val="0020"/>
        <w:tblCaption w:val="Table 5: Resolved projects by category"/>
      </w:tblPr>
      <w:tblGrid>
        <w:gridCol w:w="3217"/>
        <w:gridCol w:w="1958"/>
        <w:gridCol w:w="1119"/>
        <w:gridCol w:w="699"/>
        <w:gridCol w:w="839"/>
        <w:gridCol w:w="839"/>
        <w:gridCol w:w="1119"/>
      </w:tblGrid>
      <w:tr>
        <w:trPr>
          <w:tblHeader w:val="on"/>
        </w:trPr>
        <w:tc>
          <w:tcPr>
            <w:tcW w:type="dxa" w:w="3217"/>
            <w:tcMar>
              <w:left w:w="30" w:type="dxa"/>
              <w:right w:w="30" w:type="dxa"/>
            </w:tcMar>
          </w:tcPr>
          <w:p>
            <w:pPr>
              <w:pStyle w:val="Compact"/>
              <w:spacing w:after="0" w:before="0"/>
              <w:jc w:val="left"/>
            </w:pPr>
            <w:r>
              <w:rPr>
                <w:sz w:val="16"/>
              </w:rPr>
              <w:t xml:space="preserve">Code</w:t>
            </w:r>
          </w:p>
        </w:tc>
        <w:tc>
          <w:tcPr>
            <w:tcW w:type="dxa" w:w="1958"/>
            <w:tcMar>
              <w:left w:w="30" w:type="dxa"/>
              <w:right w:w="30" w:type="dxa"/>
            </w:tcMar>
          </w:tcPr>
          <w:p>
            <w:pPr>
              <w:pStyle w:val="Compact"/>
              <w:spacing w:after="0" w:before="0"/>
              <w:jc w:val="left"/>
            </w:pPr>
            <w:r>
              <w:rPr>
                <w:sz w:val="16"/>
              </w:rPr>
              <w:t xml:space="preserve">Category</w:t>
            </w:r>
          </w:p>
        </w:tc>
        <w:tc>
          <w:tcPr>
            <w:tcW w:type="dxa" w:w="1119"/>
            <w:tcMar>
              <w:left w:w="30" w:type="dxa"/>
              <w:right w:w="30" w:type="dxa"/>
            </w:tcMar>
          </w:tcPr>
          <w:p>
            <w:pPr>
              <w:pStyle w:val="Compact"/>
              <w:spacing w:after="0" w:before="0"/>
              <w:jc w:val="right"/>
            </w:pPr>
            <w:r>
              <w:rPr>
                <w:sz w:val="16"/>
              </w:rPr>
              <w:t xml:space="preserve">Projects</w:t>
            </w:r>
          </w:p>
        </w:tc>
        <w:tc>
          <w:tcPr>
            <w:tcW w:type="dxa" w:w="699"/>
            <w:tcMar>
              <w:left w:w="30" w:type="dxa"/>
              <w:right w:w="30" w:type="dxa"/>
            </w:tcMar>
          </w:tcPr>
          <w:p>
            <w:pPr>
              <w:pStyle w:val="Compact"/>
              <w:spacing w:after="0" w:before="0"/>
              <w:jc w:val="right"/>
            </w:pPr>
            <w:r>
              <w:rPr>
                <w:sz w:val="16"/>
              </w:rPr>
              <w:t xml:space="preserve">Share (%)</w:t>
            </w:r>
          </w:p>
        </w:tc>
        <w:tc>
          <w:tcPr>
            <w:tcW w:type="dxa" w:w="839"/>
            <w:tcMar>
              <w:left w:w="30" w:type="dxa"/>
              <w:right w:w="30" w:type="dxa"/>
            </w:tcMar>
          </w:tcPr>
          <w:p>
            <w:pPr>
              <w:pStyle w:val="Compact"/>
              <w:spacing w:after="0" w:before="0"/>
              <w:jc w:val="right"/>
            </w:pPr>
            <w:r>
              <w:rPr>
                <w:sz w:val="16"/>
              </w:rPr>
              <w:t xml:space="preserve">With amount</w:t>
            </w:r>
          </w:p>
        </w:tc>
        <w:tc>
          <w:tcPr>
            <w:tcW w:type="dxa" w:w="839"/>
            <w:tcMar>
              <w:left w:w="30" w:type="dxa"/>
              <w:right w:w="30" w:type="dxa"/>
            </w:tcMar>
          </w:tcPr>
          <w:p>
            <w:pPr>
              <w:pStyle w:val="Compact"/>
              <w:spacing w:after="0" w:before="0"/>
              <w:jc w:val="right"/>
            </w:pPr>
            <w:r>
              <w:rPr>
                <w:sz w:val="16"/>
              </w:rPr>
              <w:t xml:space="preserve">Median amount (M USD)</w:t>
            </w:r>
          </w:p>
        </w:tc>
        <w:tc>
          <w:tcPr>
            <w:tcW w:type="dxa" w:w="1119"/>
            <w:tcMar>
              <w:left w:w="30" w:type="dxa"/>
              <w:right w:w="30" w:type="dxa"/>
            </w:tcMar>
          </w:tcPr>
          <w:p>
            <w:pPr>
              <w:pStyle w:val="Compact"/>
              <w:spacing w:after="0" w:before="0"/>
              <w:jc w:val="right"/>
            </w:pPr>
            <w:r>
              <w:rPr>
                <w:sz w:val="16"/>
              </w:rPr>
              <w:t xml:space="preserve">Mentions / project</w:t>
            </w:r>
          </w:p>
        </w:tc>
      </w:tr>
      <w:tr>
        <w:tc>
          <w:tcPr>
            <w:tcW w:type="dxa" w:w="3217"/>
            <w:tcMar>
              <w:left w:w="30" w:type="dxa"/>
              <w:right w:w="30" w:type="dxa"/>
            </w:tcMar>
          </w:tcPr>
          <w:p>
            <w:pPr>
              <w:pStyle w:val="Compact"/>
              <w:spacing w:after="0" w:before="0"/>
              <w:jc w:val="left"/>
            </w:pPr>
            <w:r>
              <w:rPr>
                <w:rStyle w:val="VerbatimChar"/>
                <w:sz w:val="16"/>
              </w:rPr>
              <w:t xml:space="preserve">ma_integration</w:t>
            </w:r>
          </w:p>
        </w:tc>
        <w:tc>
          <w:tcPr>
            <w:tcW w:type="dxa" w:w="1958"/>
            <w:tcMar>
              <w:left w:w="30" w:type="dxa"/>
              <w:right w:w="30" w:type="dxa"/>
            </w:tcMar>
          </w:tcPr>
          <w:p>
            <w:pPr>
              <w:pStyle w:val="Compact"/>
              <w:spacing w:after="0" w:before="0"/>
              <w:jc w:val="left"/>
            </w:pPr>
            <w:r>
              <w:rPr>
                <w:sz w:val="16"/>
              </w:rPr>
              <w:t xml:space="preserve">M&amp;A / integration</w:t>
            </w:r>
          </w:p>
        </w:tc>
        <w:tc>
          <w:tcPr>
            <w:tcW w:type="dxa" w:w="1119"/>
            <w:tcMar>
              <w:left w:w="30" w:type="dxa"/>
              <w:right w:w="30" w:type="dxa"/>
            </w:tcMar>
          </w:tcPr>
          <w:p>
            <w:pPr>
              <w:pStyle w:val="Compact"/>
              <w:spacing w:after="0" w:before="0"/>
              <w:jc w:val="right"/>
            </w:pPr>
            <w:r>
              <w:rPr>
                <w:sz w:val="16"/>
              </w:rPr>
              <w:t xml:space="preserve">41</w:t>
            </w:r>
            <w:r>
              <w:rPr>
                <w:sz w:val="16"/>
              </w:rPr>
              <w:t xml:space="preserve">,</w:t>
            </w:r>
            <w:r>
              <w:rPr>
                <w:sz w:val="16"/>
              </w:rPr>
              <w:t xml:space="preserve">742</w:t>
            </w:r>
          </w:p>
        </w:tc>
        <w:tc>
          <w:tcPr>
            <w:tcW w:type="dxa" w:w="699"/>
            <w:tcMar>
              <w:left w:w="30" w:type="dxa"/>
              <w:right w:w="30" w:type="dxa"/>
            </w:tcMar>
          </w:tcPr>
          <w:p>
            <w:pPr>
              <w:pStyle w:val="Compact"/>
              <w:spacing w:after="0" w:before="0"/>
              <w:jc w:val="right"/>
            </w:pPr>
            <w:r>
              <w:rPr>
                <w:sz w:val="16"/>
              </w:rPr>
              <w:t xml:space="preserve">34.5</w:t>
            </w:r>
          </w:p>
        </w:tc>
        <w:tc>
          <w:tcPr>
            <w:tcW w:type="dxa" w:w="839"/>
            <w:tcMar>
              <w:left w:w="30" w:type="dxa"/>
              <w:right w:w="30" w:type="dxa"/>
            </w:tcMar>
          </w:tcPr>
          <w:p>
            <w:pPr>
              <w:pStyle w:val="Compact"/>
              <w:spacing w:after="0" w:before="0"/>
              <w:jc w:val="right"/>
            </w:pPr>
            <w:r>
              <w:rPr>
                <w:sz w:val="16"/>
              </w:rPr>
              <w:t xml:space="preserve">28</w:t>
            </w:r>
            <w:r>
              <w:rPr>
                <w:sz w:val="16"/>
              </w:rPr>
              <w:t xml:space="preserve">,</w:t>
            </w:r>
            <w:r>
              <w:rPr>
                <w:sz w:val="16"/>
              </w:rPr>
              <w:t xml:space="preserve">044</w:t>
            </w:r>
          </w:p>
        </w:tc>
        <w:tc>
          <w:tcPr>
            <w:tcW w:type="dxa" w:w="839"/>
            <w:tcMar>
              <w:left w:w="30" w:type="dxa"/>
              <w:right w:w="30" w:type="dxa"/>
            </w:tcMar>
          </w:tcPr>
          <w:p>
            <w:pPr>
              <w:pStyle w:val="Compact"/>
              <w:spacing w:after="0" w:before="0"/>
              <w:jc w:val="right"/>
            </w:pPr>
            <w:r>
              <w:rPr>
                <w:sz w:val="16"/>
              </w:rPr>
              <w:t xml:space="preserve">155.0</w:t>
            </w:r>
          </w:p>
        </w:tc>
        <w:tc>
          <w:tcPr>
            <w:tcW w:type="dxa" w:w="1119"/>
            <w:tcMar>
              <w:left w:w="30" w:type="dxa"/>
              <w:right w:w="30" w:type="dxa"/>
            </w:tcMar>
          </w:tcPr>
          <w:p>
            <w:pPr>
              <w:pStyle w:val="Compact"/>
              <w:spacing w:after="0" w:before="0"/>
              <w:jc w:val="right"/>
            </w:pPr>
            <w:r>
              <w:rPr>
                <w:sz w:val="16"/>
              </w:rPr>
              <w:t xml:space="preserve">3.12</w:t>
            </w:r>
          </w:p>
        </w:tc>
      </w:tr>
      <w:tr>
        <w:tc>
          <w:tcPr>
            <w:tcW w:type="dxa" w:w="3217"/>
            <w:tcMar>
              <w:left w:w="30" w:type="dxa"/>
              <w:right w:w="30" w:type="dxa"/>
            </w:tcMar>
          </w:tcPr>
          <w:p>
            <w:pPr>
              <w:pStyle w:val="Compact"/>
              <w:spacing w:after="0" w:before="0"/>
              <w:jc w:val="left"/>
            </w:pPr>
            <w:r>
              <w:rPr>
                <w:rStyle w:val="VerbatimChar"/>
                <w:sz w:val="16"/>
              </w:rPr>
              <w:t xml:space="preserve">capex_program</w:t>
            </w:r>
          </w:p>
        </w:tc>
        <w:tc>
          <w:tcPr>
            <w:tcW w:type="dxa" w:w="1958"/>
            <w:tcMar>
              <w:left w:w="30" w:type="dxa"/>
              <w:right w:w="30" w:type="dxa"/>
            </w:tcMar>
          </w:tcPr>
          <w:p>
            <w:pPr>
              <w:pStyle w:val="Compact"/>
              <w:spacing w:after="0" w:before="0"/>
              <w:jc w:val="left"/>
            </w:pPr>
            <w:r>
              <w:rPr>
                <w:sz w:val="16"/>
              </w:rPr>
              <w:t xml:space="preserve">Capital expenditure program</w:t>
            </w:r>
          </w:p>
        </w:tc>
        <w:tc>
          <w:tcPr>
            <w:tcW w:type="dxa" w:w="1119"/>
            <w:tcMar>
              <w:left w:w="30" w:type="dxa"/>
              <w:right w:w="30" w:type="dxa"/>
            </w:tcMar>
          </w:tcPr>
          <w:p>
            <w:pPr>
              <w:pStyle w:val="Compact"/>
              <w:spacing w:after="0" w:before="0"/>
              <w:jc w:val="right"/>
            </w:pPr>
            <w:r>
              <w:rPr>
                <w:sz w:val="16"/>
              </w:rPr>
              <w:t xml:space="preserve">10</w:t>
            </w:r>
            <w:r>
              <w:rPr>
                <w:sz w:val="16"/>
              </w:rPr>
              <w:t xml:space="preserve">,</w:t>
            </w:r>
            <w:r>
              <w:rPr>
                <w:sz w:val="16"/>
              </w:rPr>
              <w:t xml:space="preserve">720</w:t>
            </w:r>
          </w:p>
        </w:tc>
        <w:tc>
          <w:tcPr>
            <w:tcW w:type="dxa" w:w="699"/>
            <w:tcMar>
              <w:left w:w="30" w:type="dxa"/>
              <w:right w:w="30" w:type="dxa"/>
            </w:tcMar>
          </w:tcPr>
          <w:p>
            <w:pPr>
              <w:pStyle w:val="Compact"/>
              <w:spacing w:after="0" w:before="0"/>
              <w:jc w:val="right"/>
            </w:pPr>
            <w:r>
              <w:rPr>
                <w:sz w:val="16"/>
              </w:rPr>
              <w:t xml:space="preserve">8.9</w:t>
            </w:r>
          </w:p>
        </w:tc>
        <w:tc>
          <w:tcPr>
            <w:tcW w:type="dxa" w:w="839"/>
            <w:tcMar>
              <w:left w:w="30" w:type="dxa"/>
              <w:right w:w="30" w:type="dxa"/>
            </w:tcMar>
          </w:tcPr>
          <w:p>
            <w:pPr>
              <w:pStyle w:val="Compact"/>
              <w:spacing w:after="0" w:before="0"/>
              <w:jc w:val="right"/>
            </w:pPr>
            <w:r>
              <w:rPr>
                <w:sz w:val="16"/>
              </w:rPr>
              <w:t xml:space="preserve">9</w:t>
            </w:r>
            <w:r>
              <w:rPr>
                <w:sz w:val="16"/>
              </w:rPr>
              <w:t xml:space="preserve">,</w:t>
            </w:r>
            <w:r>
              <w:rPr>
                <w:sz w:val="16"/>
              </w:rPr>
              <w:t xml:space="preserve">452</w:t>
            </w:r>
          </w:p>
        </w:tc>
        <w:tc>
          <w:tcPr>
            <w:tcW w:type="dxa" w:w="839"/>
            <w:tcMar>
              <w:left w:w="30" w:type="dxa"/>
              <w:right w:w="30" w:type="dxa"/>
            </w:tcMar>
          </w:tcPr>
          <w:p>
            <w:pPr>
              <w:pStyle w:val="Compact"/>
              <w:spacing w:after="0" w:before="0"/>
              <w:jc w:val="right"/>
            </w:pPr>
            <w:r>
              <w:rPr>
                <w:sz w:val="16"/>
              </w:rPr>
              <w:t xml:space="preserve">300.0</w:t>
            </w:r>
          </w:p>
        </w:tc>
        <w:tc>
          <w:tcPr>
            <w:tcW w:type="dxa" w:w="1119"/>
            <w:tcMar>
              <w:left w:w="30" w:type="dxa"/>
              <w:right w:w="30" w:type="dxa"/>
            </w:tcMar>
          </w:tcPr>
          <w:p>
            <w:pPr>
              <w:pStyle w:val="Compact"/>
              <w:spacing w:after="0" w:before="0"/>
              <w:jc w:val="right"/>
            </w:pPr>
            <w:r>
              <w:rPr>
                <w:sz w:val="16"/>
              </w:rPr>
              <w:t xml:space="preserve">1.79</w:t>
            </w:r>
          </w:p>
        </w:tc>
      </w:tr>
      <w:tr>
        <w:tc>
          <w:tcPr>
            <w:tcW w:type="dxa" w:w="3217"/>
            <w:tcMar>
              <w:left w:w="30" w:type="dxa"/>
              <w:right w:w="30" w:type="dxa"/>
            </w:tcMar>
          </w:tcPr>
          <w:p>
            <w:pPr>
              <w:pStyle w:val="Compact"/>
              <w:spacing w:after="0" w:before="0"/>
              <w:jc w:val="left"/>
            </w:pPr>
            <w:r>
              <w:rPr>
                <w:rStyle w:val="VerbatimChar"/>
                <w:sz w:val="16"/>
              </w:rPr>
              <w:t xml:space="preserve">partnership</w:t>
            </w:r>
          </w:p>
        </w:tc>
        <w:tc>
          <w:tcPr>
            <w:tcW w:type="dxa" w:w="1958"/>
            <w:tcMar>
              <w:left w:w="30" w:type="dxa"/>
              <w:right w:w="30" w:type="dxa"/>
            </w:tcMar>
          </w:tcPr>
          <w:p>
            <w:pPr>
              <w:pStyle w:val="Compact"/>
              <w:spacing w:after="0" w:before="0"/>
              <w:jc w:val="left"/>
            </w:pPr>
            <w:r>
              <w:rPr>
                <w:sz w:val="16"/>
              </w:rPr>
              <w:t xml:space="preserve">Strategic partnership</w:t>
            </w:r>
          </w:p>
        </w:tc>
        <w:tc>
          <w:tcPr>
            <w:tcW w:type="dxa" w:w="1119"/>
            <w:tcMar>
              <w:left w:w="30" w:type="dxa"/>
              <w:right w:w="30" w:type="dxa"/>
            </w:tcMar>
          </w:tcPr>
          <w:p>
            <w:pPr>
              <w:pStyle w:val="Compact"/>
              <w:spacing w:after="0" w:before="0"/>
              <w:jc w:val="right"/>
            </w:pPr>
            <w:r>
              <w:rPr>
                <w:sz w:val="16"/>
              </w:rPr>
              <w:t xml:space="preserve">9</w:t>
            </w:r>
            <w:r>
              <w:rPr>
                <w:sz w:val="16"/>
              </w:rPr>
              <w:t xml:space="preserve">,</w:t>
            </w:r>
            <w:r>
              <w:rPr>
                <w:sz w:val="16"/>
              </w:rPr>
              <w:t xml:space="preserve">909</w:t>
            </w:r>
          </w:p>
        </w:tc>
        <w:tc>
          <w:tcPr>
            <w:tcW w:type="dxa" w:w="699"/>
            <w:tcMar>
              <w:left w:w="30" w:type="dxa"/>
              <w:right w:w="30" w:type="dxa"/>
            </w:tcMar>
          </w:tcPr>
          <w:p>
            <w:pPr>
              <w:pStyle w:val="Compact"/>
              <w:spacing w:after="0" w:before="0"/>
              <w:jc w:val="right"/>
            </w:pPr>
            <w:r>
              <w:rPr>
                <w:sz w:val="16"/>
              </w:rPr>
              <w:t xml:space="preserve">8.2</w:t>
            </w:r>
          </w:p>
        </w:tc>
        <w:tc>
          <w:tcPr>
            <w:tcW w:type="dxa" w:w="839"/>
            <w:tcMar>
              <w:left w:w="30" w:type="dxa"/>
              <w:right w:w="30" w:type="dxa"/>
            </w:tcMar>
          </w:tcPr>
          <w:p>
            <w:pPr>
              <w:pStyle w:val="Compact"/>
              <w:spacing w:after="0" w:before="0"/>
              <w:jc w:val="right"/>
            </w:pPr>
            <w:r>
              <w:rPr>
                <w:sz w:val="16"/>
              </w:rPr>
              <w:t xml:space="preserve">2</w:t>
            </w:r>
            <w:r>
              <w:rPr>
                <w:sz w:val="16"/>
              </w:rPr>
              <w:t xml:space="preserve">,</w:t>
            </w:r>
            <w:r>
              <w:rPr>
                <w:sz w:val="16"/>
              </w:rPr>
              <w:t xml:space="preserve">943</w:t>
            </w:r>
          </w:p>
        </w:tc>
        <w:tc>
          <w:tcPr>
            <w:tcW w:type="dxa" w:w="839"/>
            <w:tcMar>
              <w:left w:w="30" w:type="dxa"/>
              <w:right w:w="30" w:type="dxa"/>
            </w:tcMar>
          </w:tcPr>
          <w:p>
            <w:pPr>
              <w:pStyle w:val="Compact"/>
              <w:spacing w:after="0" w:before="0"/>
              <w:jc w:val="right"/>
            </w:pPr>
            <w:r>
              <w:rPr>
                <w:sz w:val="16"/>
              </w:rPr>
              <w:t xml:space="preserve">75.0</w:t>
            </w:r>
          </w:p>
        </w:tc>
        <w:tc>
          <w:tcPr>
            <w:tcW w:type="dxa" w:w="1119"/>
            <w:tcMar>
              <w:left w:w="30" w:type="dxa"/>
              <w:right w:w="30" w:type="dxa"/>
            </w:tcMar>
          </w:tcPr>
          <w:p>
            <w:pPr>
              <w:pStyle w:val="Compact"/>
              <w:spacing w:after="0" w:before="0"/>
              <w:jc w:val="right"/>
            </w:pPr>
            <w:r>
              <w:rPr>
                <w:sz w:val="16"/>
              </w:rPr>
              <w:t xml:space="preserve">1.77</w:t>
            </w:r>
          </w:p>
        </w:tc>
      </w:tr>
      <w:tr>
        <w:tc>
          <w:tcPr>
            <w:tcW w:type="dxa" w:w="3217"/>
            <w:tcMar>
              <w:left w:w="30" w:type="dxa"/>
              <w:right w:w="30" w:type="dxa"/>
            </w:tcMar>
          </w:tcPr>
          <w:p>
            <w:pPr>
              <w:pStyle w:val="Compact"/>
              <w:spacing w:after="0" w:before="0"/>
              <w:jc w:val="left"/>
            </w:pPr>
            <w:r>
              <w:rPr>
                <w:rStyle w:val="VerbatimChar"/>
                <w:sz w:val="16"/>
              </w:rPr>
              <w:t xml:space="preserve">geographic_expansion</w:t>
            </w:r>
          </w:p>
        </w:tc>
        <w:tc>
          <w:tcPr>
            <w:tcW w:type="dxa" w:w="1958"/>
            <w:tcMar>
              <w:left w:w="30" w:type="dxa"/>
              <w:right w:w="30" w:type="dxa"/>
            </w:tcMar>
          </w:tcPr>
          <w:p>
            <w:pPr>
              <w:pStyle w:val="Compact"/>
              <w:spacing w:after="0" w:before="0"/>
              <w:jc w:val="left"/>
            </w:pPr>
            <w:r>
              <w:rPr>
                <w:sz w:val="16"/>
              </w:rPr>
              <w:t xml:space="preserve">Geographic expansion</w:t>
            </w:r>
          </w:p>
        </w:tc>
        <w:tc>
          <w:tcPr>
            <w:tcW w:type="dxa" w:w="1119"/>
            <w:tcMar>
              <w:left w:w="30" w:type="dxa"/>
              <w:right w:w="30" w:type="dxa"/>
            </w:tcMar>
          </w:tcPr>
          <w:p>
            <w:pPr>
              <w:pStyle w:val="Compact"/>
              <w:spacing w:after="0" w:before="0"/>
              <w:jc w:val="right"/>
            </w:pPr>
            <w:r>
              <w:rPr>
                <w:sz w:val="16"/>
              </w:rPr>
              <w:t xml:space="preserve">7</w:t>
            </w:r>
            <w:r>
              <w:rPr>
                <w:sz w:val="16"/>
              </w:rPr>
              <w:t xml:space="preserve">,</w:t>
            </w:r>
            <w:r>
              <w:rPr>
                <w:sz w:val="16"/>
              </w:rPr>
              <w:t xml:space="preserve">868</w:t>
            </w:r>
          </w:p>
        </w:tc>
        <w:tc>
          <w:tcPr>
            <w:tcW w:type="dxa" w:w="699"/>
            <w:tcMar>
              <w:left w:w="30" w:type="dxa"/>
              <w:right w:w="30" w:type="dxa"/>
            </w:tcMar>
          </w:tcPr>
          <w:p>
            <w:pPr>
              <w:pStyle w:val="Compact"/>
              <w:spacing w:after="0" w:before="0"/>
              <w:jc w:val="right"/>
            </w:pPr>
            <w:r>
              <w:rPr>
                <w:sz w:val="16"/>
              </w:rPr>
              <w:t xml:space="preserve">6.5</w:t>
            </w:r>
          </w:p>
        </w:tc>
        <w:tc>
          <w:tcPr>
            <w:tcW w:type="dxa" w:w="839"/>
            <w:tcMar>
              <w:left w:w="30" w:type="dxa"/>
              <w:right w:w="30" w:type="dxa"/>
            </w:tcMar>
          </w:tcPr>
          <w:p>
            <w:pPr>
              <w:pStyle w:val="Compact"/>
              <w:spacing w:after="0" w:before="0"/>
              <w:jc w:val="right"/>
            </w:pPr>
            <w:r>
              <w:rPr>
                <w:sz w:val="16"/>
              </w:rPr>
              <w:t xml:space="preserve">1</w:t>
            </w:r>
            <w:r>
              <w:rPr>
                <w:sz w:val="16"/>
              </w:rPr>
              <w:t xml:space="preserve">,</w:t>
            </w:r>
            <w:r>
              <w:rPr>
                <w:sz w:val="16"/>
              </w:rPr>
              <w:t xml:space="preserve">431</w:t>
            </w:r>
          </w:p>
        </w:tc>
        <w:tc>
          <w:tcPr>
            <w:tcW w:type="dxa" w:w="839"/>
            <w:tcMar>
              <w:left w:w="30" w:type="dxa"/>
              <w:right w:w="30" w:type="dxa"/>
            </w:tcMar>
          </w:tcPr>
          <w:p>
            <w:pPr>
              <w:pStyle w:val="Compact"/>
              <w:spacing w:after="0" w:before="0"/>
              <w:jc w:val="right"/>
            </w:pPr>
            <w:r>
              <w:rPr>
                <w:sz w:val="16"/>
              </w:rPr>
              <w:t xml:space="preserve">36.7</w:t>
            </w:r>
          </w:p>
        </w:tc>
        <w:tc>
          <w:tcPr>
            <w:tcW w:type="dxa" w:w="1119"/>
            <w:tcMar>
              <w:left w:w="30" w:type="dxa"/>
              <w:right w:w="30" w:type="dxa"/>
            </w:tcMar>
          </w:tcPr>
          <w:p>
            <w:pPr>
              <w:pStyle w:val="Compact"/>
              <w:spacing w:after="0" w:before="0"/>
              <w:jc w:val="right"/>
            </w:pPr>
            <w:r>
              <w:rPr>
                <w:sz w:val="16"/>
              </w:rPr>
              <w:t xml:space="preserve">2.25</w:t>
            </w:r>
          </w:p>
        </w:tc>
      </w:tr>
      <w:tr>
        <w:tc>
          <w:tcPr>
            <w:tcW w:type="dxa" w:w="3217"/>
            <w:tcMar>
              <w:left w:w="30" w:type="dxa"/>
              <w:right w:w="30" w:type="dxa"/>
            </w:tcMar>
          </w:tcPr>
          <w:p>
            <w:pPr>
              <w:pStyle w:val="Compact"/>
              <w:spacing w:after="0" w:before="0"/>
              <w:jc w:val="left"/>
            </w:pPr>
            <w:r>
              <w:rPr>
                <w:rStyle w:val="VerbatimChar"/>
                <w:sz w:val="16"/>
              </w:rPr>
              <w:t xml:space="preserve">plant_construction</w:t>
            </w:r>
          </w:p>
        </w:tc>
        <w:tc>
          <w:tcPr>
            <w:tcW w:type="dxa" w:w="1958"/>
            <w:tcMar>
              <w:left w:w="30" w:type="dxa"/>
              <w:right w:w="30" w:type="dxa"/>
            </w:tcMar>
          </w:tcPr>
          <w:p>
            <w:pPr>
              <w:pStyle w:val="Compact"/>
              <w:spacing w:after="0" w:before="0"/>
              <w:jc w:val="left"/>
            </w:pPr>
            <w:r>
              <w:rPr>
                <w:sz w:val="16"/>
              </w:rPr>
              <w:t xml:space="preserve">Plant / site construction</w:t>
            </w:r>
          </w:p>
        </w:tc>
        <w:tc>
          <w:tcPr>
            <w:tcW w:type="dxa" w:w="1119"/>
            <w:tcMar>
              <w:left w:w="30" w:type="dxa"/>
              <w:right w:w="30" w:type="dxa"/>
            </w:tcMar>
          </w:tcPr>
          <w:p>
            <w:pPr>
              <w:pStyle w:val="Compact"/>
              <w:spacing w:after="0" w:before="0"/>
              <w:jc w:val="right"/>
            </w:pPr>
            <w:r>
              <w:rPr>
                <w:sz w:val="16"/>
              </w:rPr>
              <w:t xml:space="preserve">7</w:t>
            </w:r>
            <w:r>
              <w:rPr>
                <w:sz w:val="16"/>
              </w:rPr>
              <w:t xml:space="preserve">,</w:t>
            </w:r>
            <w:r>
              <w:rPr>
                <w:sz w:val="16"/>
              </w:rPr>
              <w:t xml:space="preserve">590</w:t>
            </w:r>
          </w:p>
        </w:tc>
        <w:tc>
          <w:tcPr>
            <w:tcW w:type="dxa" w:w="699"/>
            <w:tcMar>
              <w:left w:w="30" w:type="dxa"/>
              <w:right w:w="30" w:type="dxa"/>
            </w:tcMar>
          </w:tcPr>
          <w:p>
            <w:pPr>
              <w:pStyle w:val="Compact"/>
              <w:spacing w:after="0" w:before="0"/>
              <w:jc w:val="right"/>
            </w:pPr>
            <w:r>
              <w:rPr>
                <w:sz w:val="16"/>
              </w:rPr>
              <w:t xml:space="preserve">6.3</w:t>
            </w:r>
          </w:p>
        </w:tc>
        <w:tc>
          <w:tcPr>
            <w:tcW w:type="dxa" w:w="839"/>
            <w:tcMar>
              <w:left w:w="30" w:type="dxa"/>
              <w:right w:w="30" w:type="dxa"/>
            </w:tcMar>
          </w:tcPr>
          <w:p>
            <w:pPr>
              <w:pStyle w:val="Compact"/>
              <w:spacing w:after="0" w:before="0"/>
              <w:jc w:val="right"/>
            </w:pPr>
            <w:r>
              <w:rPr>
                <w:sz w:val="16"/>
              </w:rPr>
              <w:t xml:space="preserve">2</w:t>
            </w:r>
            <w:r>
              <w:rPr>
                <w:sz w:val="16"/>
              </w:rPr>
              <w:t xml:space="preserve">,</w:t>
            </w:r>
            <w:r>
              <w:rPr>
                <w:sz w:val="16"/>
              </w:rPr>
              <w:t xml:space="preserve">511</w:t>
            </w:r>
          </w:p>
        </w:tc>
        <w:tc>
          <w:tcPr>
            <w:tcW w:type="dxa" w:w="839"/>
            <w:tcMar>
              <w:left w:w="30" w:type="dxa"/>
              <w:right w:w="30" w:type="dxa"/>
            </w:tcMar>
          </w:tcPr>
          <w:p>
            <w:pPr>
              <w:pStyle w:val="Compact"/>
              <w:spacing w:after="0" w:before="0"/>
              <w:jc w:val="right"/>
            </w:pPr>
            <w:r>
              <w:rPr>
                <w:sz w:val="16"/>
              </w:rPr>
              <w:t xml:space="preserve">56.0</w:t>
            </w:r>
          </w:p>
        </w:tc>
        <w:tc>
          <w:tcPr>
            <w:tcW w:type="dxa" w:w="1119"/>
            <w:tcMar>
              <w:left w:w="30" w:type="dxa"/>
              <w:right w:w="30" w:type="dxa"/>
            </w:tcMar>
          </w:tcPr>
          <w:p>
            <w:pPr>
              <w:pStyle w:val="Compact"/>
              <w:spacing w:after="0" w:before="0"/>
              <w:jc w:val="right"/>
            </w:pPr>
            <w:r>
              <w:rPr>
                <w:sz w:val="16"/>
              </w:rPr>
              <w:t xml:space="preserve">2.42</w:t>
            </w:r>
          </w:p>
        </w:tc>
      </w:tr>
      <w:tr>
        <w:tc>
          <w:tcPr>
            <w:tcW w:type="dxa" w:w="3217"/>
            <w:tcMar>
              <w:left w:w="30" w:type="dxa"/>
              <w:right w:w="30" w:type="dxa"/>
            </w:tcMar>
          </w:tcPr>
          <w:p>
            <w:pPr>
              <w:pStyle w:val="Compact"/>
              <w:spacing w:after="0" w:before="0"/>
              <w:jc w:val="left"/>
            </w:pPr>
            <w:r>
              <w:rPr>
                <w:rStyle w:val="VerbatimChar"/>
                <w:sz w:val="16"/>
              </w:rPr>
              <w:t xml:space="preserve">cost_reduction</w:t>
            </w:r>
          </w:p>
        </w:tc>
        <w:tc>
          <w:tcPr>
            <w:tcW w:type="dxa" w:w="1958"/>
            <w:tcMar>
              <w:left w:w="30" w:type="dxa"/>
              <w:right w:w="30" w:type="dxa"/>
            </w:tcMar>
          </w:tcPr>
          <w:p>
            <w:pPr>
              <w:pStyle w:val="Compact"/>
              <w:spacing w:after="0" w:before="0"/>
              <w:jc w:val="left"/>
            </w:pPr>
            <w:r>
              <w:rPr>
                <w:sz w:val="16"/>
              </w:rPr>
              <w:t xml:space="preserve">Cost reduction / restructuring</w:t>
            </w:r>
          </w:p>
        </w:tc>
        <w:tc>
          <w:tcPr>
            <w:tcW w:type="dxa" w:w="1119"/>
            <w:tcMar>
              <w:left w:w="30" w:type="dxa"/>
              <w:right w:w="30" w:type="dxa"/>
            </w:tcMar>
          </w:tcPr>
          <w:p>
            <w:pPr>
              <w:pStyle w:val="Compact"/>
              <w:spacing w:after="0" w:before="0"/>
              <w:jc w:val="right"/>
            </w:pPr>
            <w:r>
              <w:rPr>
                <w:sz w:val="16"/>
              </w:rPr>
              <w:t xml:space="preserve">6</w:t>
            </w:r>
            <w:r>
              <w:rPr>
                <w:sz w:val="16"/>
              </w:rPr>
              <w:t xml:space="preserve">,</w:t>
            </w:r>
            <w:r>
              <w:rPr>
                <w:sz w:val="16"/>
              </w:rPr>
              <w:t xml:space="preserve">481</w:t>
            </w:r>
          </w:p>
        </w:tc>
        <w:tc>
          <w:tcPr>
            <w:tcW w:type="dxa" w:w="699"/>
            <w:tcMar>
              <w:left w:w="30" w:type="dxa"/>
              <w:right w:w="30" w:type="dxa"/>
            </w:tcMar>
          </w:tcPr>
          <w:p>
            <w:pPr>
              <w:pStyle w:val="Compact"/>
              <w:spacing w:after="0" w:before="0"/>
              <w:jc w:val="right"/>
            </w:pPr>
            <w:r>
              <w:rPr>
                <w:sz w:val="16"/>
              </w:rPr>
              <w:t xml:space="preserve">5.4</w:t>
            </w:r>
          </w:p>
        </w:tc>
        <w:tc>
          <w:tcPr>
            <w:tcW w:type="dxa" w:w="839"/>
            <w:tcMar>
              <w:left w:w="30" w:type="dxa"/>
              <w:right w:w="30" w:type="dxa"/>
            </w:tcMar>
          </w:tcPr>
          <w:p>
            <w:pPr>
              <w:pStyle w:val="Compact"/>
              <w:spacing w:after="0" w:before="0"/>
              <w:jc w:val="right"/>
            </w:pPr>
            <w:r>
              <w:rPr>
                <w:sz w:val="16"/>
              </w:rPr>
              <w:t xml:space="preserve">4</w:t>
            </w:r>
            <w:r>
              <w:rPr>
                <w:sz w:val="16"/>
              </w:rPr>
              <w:t xml:space="preserve">,</w:t>
            </w:r>
            <w:r>
              <w:rPr>
                <w:sz w:val="16"/>
              </w:rPr>
              <w:t xml:space="preserve">378</w:t>
            </w:r>
          </w:p>
        </w:tc>
        <w:tc>
          <w:tcPr>
            <w:tcW w:type="dxa" w:w="839"/>
            <w:tcMar>
              <w:left w:w="30" w:type="dxa"/>
              <w:right w:w="30" w:type="dxa"/>
            </w:tcMar>
          </w:tcPr>
          <w:p>
            <w:pPr>
              <w:pStyle w:val="Compact"/>
              <w:spacing w:after="0" w:before="0"/>
              <w:jc w:val="right"/>
            </w:pPr>
            <w:r>
              <w:rPr>
                <w:sz w:val="16"/>
              </w:rPr>
              <w:t xml:space="preserve">50.0</w:t>
            </w:r>
          </w:p>
        </w:tc>
        <w:tc>
          <w:tcPr>
            <w:tcW w:type="dxa" w:w="1119"/>
            <w:tcMar>
              <w:left w:w="30" w:type="dxa"/>
              <w:right w:w="30" w:type="dxa"/>
            </w:tcMar>
          </w:tcPr>
          <w:p>
            <w:pPr>
              <w:pStyle w:val="Compact"/>
              <w:spacing w:after="0" w:before="0"/>
              <w:jc w:val="right"/>
            </w:pPr>
            <w:r>
              <w:rPr>
                <w:sz w:val="16"/>
              </w:rPr>
              <w:t xml:space="preserve">2.03</w:t>
            </w:r>
          </w:p>
        </w:tc>
      </w:tr>
      <w:tr>
        <w:tc>
          <w:tcPr>
            <w:tcW w:type="dxa" w:w="3217"/>
            <w:tcMar>
              <w:left w:w="30" w:type="dxa"/>
              <w:right w:w="30" w:type="dxa"/>
            </w:tcMar>
          </w:tcPr>
          <w:p>
            <w:pPr>
              <w:pStyle w:val="Compact"/>
              <w:spacing w:after="0" w:before="0"/>
              <w:jc w:val="left"/>
            </w:pPr>
            <w:r>
              <w:rPr>
                <w:rStyle w:val="VerbatimChar"/>
                <w:sz w:val="16"/>
              </w:rPr>
              <w:t xml:space="preserve">drug_pipeline</w:t>
            </w:r>
          </w:p>
        </w:tc>
        <w:tc>
          <w:tcPr>
            <w:tcW w:type="dxa" w:w="1958"/>
            <w:tcMar>
              <w:left w:w="30" w:type="dxa"/>
              <w:right w:w="30" w:type="dxa"/>
            </w:tcMar>
          </w:tcPr>
          <w:p>
            <w:pPr>
              <w:pStyle w:val="Compact"/>
              <w:spacing w:after="0" w:before="0"/>
              <w:jc w:val="left"/>
            </w:pPr>
            <w:r>
              <w:rPr>
                <w:sz w:val="16"/>
              </w:rPr>
              <w:t xml:space="preserve">Drug / clinical pipeline</w:t>
            </w:r>
          </w:p>
        </w:tc>
        <w:tc>
          <w:tcPr>
            <w:tcW w:type="dxa" w:w="1119"/>
            <w:tcMar>
              <w:left w:w="30" w:type="dxa"/>
              <w:right w:w="30" w:type="dxa"/>
            </w:tcMar>
          </w:tcPr>
          <w:p>
            <w:pPr>
              <w:pStyle w:val="Compact"/>
              <w:spacing w:after="0" w:before="0"/>
              <w:jc w:val="right"/>
            </w:pPr>
            <w:r>
              <w:rPr>
                <w:sz w:val="16"/>
              </w:rPr>
              <w:t xml:space="preserve">5</w:t>
            </w:r>
            <w:r>
              <w:rPr>
                <w:sz w:val="16"/>
              </w:rPr>
              <w:t xml:space="preserve">,</w:t>
            </w:r>
            <w:r>
              <w:rPr>
                <w:sz w:val="16"/>
              </w:rPr>
              <w:t xml:space="preserve">360</w:t>
            </w:r>
          </w:p>
        </w:tc>
        <w:tc>
          <w:tcPr>
            <w:tcW w:type="dxa" w:w="699"/>
            <w:tcMar>
              <w:left w:w="30" w:type="dxa"/>
              <w:right w:w="30" w:type="dxa"/>
            </w:tcMar>
          </w:tcPr>
          <w:p>
            <w:pPr>
              <w:pStyle w:val="Compact"/>
              <w:spacing w:after="0" w:before="0"/>
              <w:jc w:val="right"/>
            </w:pPr>
            <w:r>
              <w:rPr>
                <w:sz w:val="16"/>
              </w:rPr>
              <w:t xml:space="preserve">4.4</w:t>
            </w:r>
          </w:p>
        </w:tc>
        <w:tc>
          <w:tcPr>
            <w:tcW w:type="dxa" w:w="839"/>
            <w:tcMar>
              <w:left w:w="30" w:type="dxa"/>
              <w:right w:w="30" w:type="dxa"/>
            </w:tcMar>
          </w:tcPr>
          <w:p>
            <w:pPr>
              <w:pStyle w:val="Compact"/>
              <w:spacing w:after="0" w:before="0"/>
              <w:jc w:val="right"/>
            </w:pPr>
            <w:r>
              <w:rPr>
                <w:sz w:val="16"/>
              </w:rPr>
              <w:t xml:space="preserve">778</w:t>
            </w:r>
          </w:p>
        </w:tc>
        <w:tc>
          <w:tcPr>
            <w:tcW w:type="dxa" w:w="839"/>
            <w:tcMar>
              <w:left w:w="30" w:type="dxa"/>
              <w:right w:w="30" w:type="dxa"/>
            </w:tcMar>
          </w:tcPr>
          <w:p>
            <w:pPr>
              <w:pStyle w:val="Compact"/>
              <w:spacing w:after="0" w:before="0"/>
              <w:jc w:val="right"/>
            </w:pPr>
            <w:r>
              <w:rPr>
                <w:sz w:val="16"/>
              </w:rPr>
              <w:t xml:space="preserve">46.1</w:t>
            </w:r>
          </w:p>
        </w:tc>
        <w:tc>
          <w:tcPr>
            <w:tcW w:type="dxa" w:w="1119"/>
            <w:tcMar>
              <w:left w:w="30" w:type="dxa"/>
              <w:right w:w="30" w:type="dxa"/>
            </w:tcMar>
          </w:tcPr>
          <w:p>
            <w:pPr>
              <w:pStyle w:val="Compact"/>
              <w:spacing w:after="0" w:before="0"/>
              <w:jc w:val="right"/>
            </w:pPr>
            <w:r>
              <w:rPr>
                <w:sz w:val="16"/>
              </w:rPr>
              <w:t xml:space="preserve">4.99</w:t>
            </w:r>
          </w:p>
        </w:tc>
      </w:tr>
      <w:tr>
        <w:tc>
          <w:tcPr>
            <w:tcW w:type="dxa" w:w="3217"/>
            <w:tcMar>
              <w:left w:w="30" w:type="dxa"/>
              <w:right w:w="30" w:type="dxa"/>
            </w:tcMar>
          </w:tcPr>
          <w:p>
            <w:pPr>
              <w:pStyle w:val="Compact"/>
              <w:spacing w:after="0" w:before="0"/>
              <w:jc w:val="left"/>
            </w:pPr>
            <w:r>
              <w:rPr>
                <w:rStyle w:val="VerbatimChar"/>
                <w:sz w:val="16"/>
              </w:rPr>
              <w:t xml:space="preserve">product_launch</w:t>
            </w:r>
          </w:p>
        </w:tc>
        <w:tc>
          <w:tcPr>
            <w:tcW w:type="dxa" w:w="1958"/>
            <w:tcMar>
              <w:left w:w="30" w:type="dxa"/>
              <w:right w:w="30" w:type="dxa"/>
            </w:tcMar>
          </w:tcPr>
          <w:p>
            <w:pPr>
              <w:pStyle w:val="Compact"/>
              <w:spacing w:after="0" w:before="0"/>
              <w:jc w:val="left"/>
            </w:pPr>
            <w:r>
              <w:rPr>
                <w:sz w:val="16"/>
              </w:rPr>
              <w:t xml:space="preserve">New product / launch</w:t>
            </w:r>
          </w:p>
        </w:tc>
        <w:tc>
          <w:tcPr>
            <w:tcW w:type="dxa" w:w="1119"/>
            <w:tcMar>
              <w:left w:w="30" w:type="dxa"/>
              <w:right w:w="30" w:type="dxa"/>
            </w:tcMar>
          </w:tcPr>
          <w:p>
            <w:pPr>
              <w:pStyle w:val="Compact"/>
              <w:spacing w:after="0" w:before="0"/>
              <w:jc w:val="right"/>
            </w:pPr>
            <w:r>
              <w:rPr>
                <w:sz w:val="16"/>
              </w:rPr>
              <w:t xml:space="preserve">5</w:t>
            </w:r>
            <w:r>
              <w:rPr>
                <w:sz w:val="16"/>
              </w:rPr>
              <w:t xml:space="preserve">,</w:t>
            </w:r>
            <w:r>
              <w:rPr>
                <w:sz w:val="16"/>
              </w:rPr>
              <w:t xml:space="preserve">356</w:t>
            </w:r>
          </w:p>
        </w:tc>
        <w:tc>
          <w:tcPr>
            <w:tcW w:type="dxa" w:w="699"/>
            <w:tcMar>
              <w:left w:w="30" w:type="dxa"/>
              <w:right w:w="30" w:type="dxa"/>
            </w:tcMar>
          </w:tcPr>
          <w:p>
            <w:pPr>
              <w:pStyle w:val="Compact"/>
              <w:spacing w:after="0" w:before="0"/>
              <w:jc w:val="right"/>
            </w:pPr>
            <w:r>
              <w:rPr>
                <w:sz w:val="16"/>
              </w:rPr>
              <w:t xml:space="preserve">4.4</w:t>
            </w:r>
          </w:p>
        </w:tc>
        <w:tc>
          <w:tcPr>
            <w:tcW w:type="dxa" w:w="839"/>
            <w:tcMar>
              <w:left w:w="30" w:type="dxa"/>
              <w:right w:w="30" w:type="dxa"/>
            </w:tcMar>
          </w:tcPr>
          <w:p>
            <w:pPr>
              <w:pStyle w:val="Compact"/>
              <w:spacing w:after="0" w:before="0"/>
              <w:jc w:val="right"/>
            </w:pPr>
            <w:r>
              <w:rPr>
                <w:sz w:val="16"/>
              </w:rPr>
              <w:t xml:space="preserve">447</w:t>
            </w:r>
          </w:p>
        </w:tc>
        <w:tc>
          <w:tcPr>
            <w:tcW w:type="dxa" w:w="839"/>
            <w:tcMar>
              <w:left w:w="30" w:type="dxa"/>
              <w:right w:w="30" w:type="dxa"/>
            </w:tcMar>
          </w:tcPr>
          <w:p>
            <w:pPr>
              <w:pStyle w:val="Compact"/>
              <w:spacing w:after="0" w:before="0"/>
              <w:jc w:val="right"/>
            </w:pPr>
            <w:r>
              <w:rPr>
                <w:sz w:val="16"/>
              </w:rPr>
              <w:t xml:space="preserve">26.7</w:t>
            </w:r>
          </w:p>
        </w:tc>
        <w:tc>
          <w:tcPr>
            <w:tcW w:type="dxa" w:w="1119"/>
            <w:tcMar>
              <w:left w:w="30" w:type="dxa"/>
              <w:right w:w="30" w:type="dxa"/>
            </w:tcMar>
          </w:tcPr>
          <w:p>
            <w:pPr>
              <w:pStyle w:val="Compact"/>
              <w:spacing w:after="0" w:before="0"/>
              <w:jc w:val="right"/>
            </w:pPr>
            <w:r>
              <w:rPr>
                <w:sz w:val="16"/>
              </w:rPr>
              <w:t xml:space="preserve">2.33</w:t>
            </w:r>
          </w:p>
        </w:tc>
      </w:tr>
      <w:tr>
        <w:tc>
          <w:tcPr>
            <w:tcW w:type="dxa" w:w="3217"/>
            <w:tcMar>
              <w:left w:w="30" w:type="dxa"/>
              <w:right w:w="30" w:type="dxa"/>
            </w:tcMar>
          </w:tcPr>
          <w:p>
            <w:pPr>
              <w:pStyle w:val="Compact"/>
              <w:spacing w:after="0" w:before="0"/>
              <w:jc w:val="left"/>
            </w:pPr>
            <w:r>
              <w:rPr>
                <w:rStyle w:val="VerbatimChar"/>
                <w:sz w:val="16"/>
              </w:rPr>
              <w:t xml:space="preserve">rd_program</w:t>
            </w:r>
          </w:p>
        </w:tc>
        <w:tc>
          <w:tcPr>
            <w:tcW w:type="dxa" w:w="1958"/>
            <w:tcMar>
              <w:left w:w="30" w:type="dxa"/>
              <w:right w:w="30" w:type="dxa"/>
            </w:tcMar>
          </w:tcPr>
          <w:p>
            <w:pPr>
              <w:pStyle w:val="Compact"/>
              <w:spacing w:after="0" w:before="0"/>
              <w:jc w:val="left"/>
            </w:pPr>
            <w:r>
              <w:rPr>
                <w:sz w:val="16"/>
              </w:rPr>
              <w:t xml:space="preserve">R&amp;D program</w:t>
            </w:r>
          </w:p>
        </w:tc>
        <w:tc>
          <w:tcPr>
            <w:tcW w:type="dxa" w:w="1119"/>
            <w:tcMar>
              <w:left w:w="30" w:type="dxa"/>
              <w:right w:w="30" w:type="dxa"/>
            </w:tcMar>
          </w:tcPr>
          <w:p>
            <w:pPr>
              <w:pStyle w:val="Compact"/>
              <w:spacing w:after="0" w:before="0"/>
              <w:jc w:val="right"/>
            </w:pPr>
            <w:r>
              <w:rPr>
                <w:sz w:val="16"/>
              </w:rPr>
              <w:t xml:space="preserve">5</w:t>
            </w:r>
            <w:r>
              <w:rPr>
                <w:sz w:val="16"/>
              </w:rPr>
              <w:t xml:space="preserve">,</w:t>
            </w:r>
            <w:r>
              <w:rPr>
                <w:sz w:val="16"/>
              </w:rPr>
              <w:t xml:space="preserve">080</w:t>
            </w:r>
          </w:p>
        </w:tc>
        <w:tc>
          <w:tcPr>
            <w:tcW w:type="dxa" w:w="699"/>
            <w:tcMar>
              <w:left w:w="30" w:type="dxa"/>
              <w:right w:w="30" w:type="dxa"/>
            </w:tcMar>
          </w:tcPr>
          <w:p>
            <w:pPr>
              <w:pStyle w:val="Compact"/>
              <w:spacing w:after="0" w:before="0"/>
              <w:jc w:val="right"/>
            </w:pPr>
            <w:r>
              <w:rPr>
                <w:sz w:val="16"/>
              </w:rPr>
              <w:t xml:space="preserve">4.2</w:t>
            </w:r>
          </w:p>
        </w:tc>
        <w:tc>
          <w:tcPr>
            <w:tcW w:type="dxa" w:w="839"/>
            <w:tcMar>
              <w:left w:w="30" w:type="dxa"/>
              <w:right w:w="30" w:type="dxa"/>
            </w:tcMar>
          </w:tcPr>
          <w:p>
            <w:pPr>
              <w:pStyle w:val="Compact"/>
              <w:spacing w:after="0" w:before="0"/>
              <w:jc w:val="right"/>
            </w:pPr>
            <w:r>
              <w:rPr>
                <w:sz w:val="16"/>
              </w:rPr>
              <w:t xml:space="preserve">1</w:t>
            </w:r>
            <w:r>
              <w:rPr>
                <w:sz w:val="16"/>
              </w:rPr>
              <w:t xml:space="preserve">,</w:t>
            </w:r>
            <w:r>
              <w:rPr>
                <w:sz w:val="16"/>
              </w:rPr>
              <w:t xml:space="preserve">272</w:t>
            </w:r>
          </w:p>
        </w:tc>
        <w:tc>
          <w:tcPr>
            <w:tcW w:type="dxa" w:w="839"/>
            <w:tcMar>
              <w:left w:w="30" w:type="dxa"/>
              <w:right w:w="30" w:type="dxa"/>
            </w:tcMar>
          </w:tcPr>
          <w:p>
            <w:pPr>
              <w:pStyle w:val="Compact"/>
              <w:spacing w:after="0" w:before="0"/>
              <w:jc w:val="right"/>
            </w:pPr>
            <w:r>
              <w:rPr>
                <w:sz w:val="16"/>
              </w:rPr>
              <w:t xml:space="preserve">20.0</w:t>
            </w:r>
          </w:p>
        </w:tc>
        <w:tc>
          <w:tcPr>
            <w:tcW w:type="dxa" w:w="1119"/>
            <w:tcMar>
              <w:left w:w="30" w:type="dxa"/>
              <w:right w:w="30" w:type="dxa"/>
            </w:tcMar>
          </w:tcPr>
          <w:p>
            <w:pPr>
              <w:pStyle w:val="Compact"/>
              <w:spacing w:after="0" w:before="0"/>
              <w:jc w:val="right"/>
            </w:pPr>
            <w:r>
              <w:rPr>
                <w:sz w:val="16"/>
              </w:rPr>
              <w:t xml:space="preserve">2.31</w:t>
            </w:r>
          </w:p>
        </w:tc>
      </w:tr>
      <w:tr>
        <w:tc>
          <w:tcPr>
            <w:tcW w:type="dxa" w:w="3217"/>
            <w:tcMar>
              <w:left w:w="30" w:type="dxa"/>
              <w:right w:w="30" w:type="dxa"/>
            </w:tcMar>
          </w:tcPr>
          <w:p>
            <w:pPr>
              <w:pStyle w:val="Compact"/>
              <w:spacing w:after="0" w:before="0"/>
              <w:jc w:val="left"/>
            </w:pPr>
            <w:r>
              <w:rPr>
                <w:rStyle w:val="VerbatimChar"/>
                <w:sz w:val="16"/>
              </w:rPr>
              <w:t xml:space="preserve">infrastructure</w:t>
            </w:r>
          </w:p>
        </w:tc>
        <w:tc>
          <w:tcPr>
            <w:tcW w:type="dxa" w:w="1958"/>
            <w:tcMar>
              <w:left w:w="30" w:type="dxa"/>
              <w:right w:w="30" w:type="dxa"/>
            </w:tcMar>
          </w:tcPr>
          <w:p>
            <w:pPr>
              <w:pStyle w:val="Compact"/>
              <w:spacing w:after="0" w:before="0"/>
              <w:jc w:val="left"/>
            </w:pPr>
            <w:r>
              <w:rPr>
                <w:sz w:val="16"/>
              </w:rPr>
              <w:t xml:space="preserve">Infrastructure investment</w:t>
            </w:r>
          </w:p>
        </w:tc>
        <w:tc>
          <w:tcPr>
            <w:tcW w:type="dxa" w:w="1119"/>
            <w:tcMar>
              <w:left w:w="30" w:type="dxa"/>
              <w:right w:w="30" w:type="dxa"/>
            </w:tcMar>
          </w:tcPr>
          <w:p>
            <w:pPr>
              <w:pStyle w:val="Compact"/>
              <w:spacing w:after="0" w:before="0"/>
              <w:jc w:val="right"/>
            </w:pPr>
            <w:r>
              <w:rPr>
                <w:sz w:val="16"/>
              </w:rPr>
              <w:t xml:space="preserve">4</w:t>
            </w:r>
            <w:r>
              <w:rPr>
                <w:sz w:val="16"/>
              </w:rPr>
              <w:t xml:space="preserve">,</w:t>
            </w:r>
            <w:r>
              <w:rPr>
                <w:sz w:val="16"/>
              </w:rPr>
              <w:t xml:space="preserve">481</w:t>
            </w:r>
          </w:p>
        </w:tc>
        <w:tc>
          <w:tcPr>
            <w:tcW w:type="dxa" w:w="699"/>
            <w:tcMar>
              <w:left w:w="30" w:type="dxa"/>
              <w:right w:w="30" w:type="dxa"/>
            </w:tcMar>
          </w:tcPr>
          <w:p>
            <w:pPr>
              <w:pStyle w:val="Compact"/>
              <w:spacing w:after="0" w:before="0"/>
              <w:jc w:val="right"/>
            </w:pPr>
            <w:r>
              <w:rPr>
                <w:sz w:val="16"/>
              </w:rPr>
              <w:t xml:space="preserve">3.7</w:t>
            </w:r>
          </w:p>
        </w:tc>
        <w:tc>
          <w:tcPr>
            <w:tcW w:type="dxa" w:w="839"/>
            <w:tcMar>
              <w:left w:w="30" w:type="dxa"/>
              <w:right w:w="30" w:type="dxa"/>
            </w:tcMar>
          </w:tcPr>
          <w:p>
            <w:pPr>
              <w:pStyle w:val="Compact"/>
              <w:spacing w:after="0" w:before="0"/>
              <w:jc w:val="right"/>
            </w:pPr>
            <w:r>
              <w:rPr>
                <w:sz w:val="16"/>
              </w:rPr>
              <w:t xml:space="preserve">1</w:t>
            </w:r>
            <w:r>
              <w:rPr>
                <w:sz w:val="16"/>
              </w:rPr>
              <w:t xml:space="preserve">,</w:t>
            </w:r>
            <w:r>
              <w:rPr>
                <w:sz w:val="16"/>
              </w:rPr>
              <w:t xml:space="preserve">694</w:t>
            </w:r>
          </w:p>
        </w:tc>
        <w:tc>
          <w:tcPr>
            <w:tcW w:type="dxa" w:w="839"/>
            <w:tcMar>
              <w:left w:w="30" w:type="dxa"/>
              <w:right w:w="30" w:type="dxa"/>
            </w:tcMar>
          </w:tcPr>
          <w:p>
            <w:pPr>
              <w:pStyle w:val="Compact"/>
              <w:spacing w:after="0" w:before="0"/>
              <w:jc w:val="right"/>
            </w:pPr>
            <w:r>
              <w:rPr>
                <w:sz w:val="16"/>
              </w:rPr>
              <w:t xml:space="preserve">48.0</w:t>
            </w:r>
          </w:p>
        </w:tc>
        <w:tc>
          <w:tcPr>
            <w:tcW w:type="dxa" w:w="1119"/>
            <w:tcMar>
              <w:left w:w="30" w:type="dxa"/>
              <w:right w:w="30" w:type="dxa"/>
            </w:tcMar>
          </w:tcPr>
          <w:p>
            <w:pPr>
              <w:pStyle w:val="Compact"/>
              <w:spacing w:after="0" w:before="0"/>
              <w:jc w:val="right"/>
            </w:pPr>
            <w:r>
              <w:rPr>
                <w:sz w:val="16"/>
              </w:rPr>
              <w:t xml:space="preserve">1.90</w:t>
            </w:r>
          </w:p>
        </w:tc>
      </w:tr>
      <w:tr>
        <w:tc>
          <w:tcPr>
            <w:tcW w:type="dxa" w:w="3217"/>
            <w:tcMar>
              <w:left w:w="30" w:type="dxa"/>
              <w:right w:w="30" w:type="dxa"/>
            </w:tcMar>
          </w:tcPr>
          <w:p>
            <w:pPr>
              <w:pStyle w:val="Compact"/>
              <w:spacing w:after="0" w:before="0"/>
              <w:jc w:val="left"/>
            </w:pPr>
            <w:r>
              <w:rPr>
                <w:rStyle w:val="VerbatimChar"/>
                <w:sz w:val="16"/>
              </w:rPr>
              <w:t xml:space="preserve">manufacturing_expansion</w:t>
            </w:r>
          </w:p>
        </w:tc>
        <w:tc>
          <w:tcPr>
            <w:tcW w:type="dxa" w:w="1958"/>
            <w:tcMar>
              <w:left w:w="30" w:type="dxa"/>
              <w:right w:w="30" w:type="dxa"/>
            </w:tcMar>
          </w:tcPr>
          <w:p>
            <w:pPr>
              <w:pStyle w:val="Compact"/>
              <w:spacing w:after="0" w:before="0"/>
              <w:jc w:val="left"/>
            </w:pPr>
            <w:r>
              <w:rPr>
                <w:sz w:val="16"/>
              </w:rPr>
              <w:t xml:space="preserve">Manufacturing / capacity expansion</w:t>
            </w:r>
          </w:p>
        </w:tc>
        <w:tc>
          <w:tcPr>
            <w:tcW w:type="dxa" w:w="1119"/>
            <w:tcMar>
              <w:left w:w="30" w:type="dxa"/>
              <w:right w:w="30" w:type="dxa"/>
            </w:tcMar>
          </w:tcPr>
          <w:p>
            <w:pPr>
              <w:pStyle w:val="Compact"/>
              <w:spacing w:after="0" w:before="0"/>
              <w:jc w:val="right"/>
            </w:pPr>
            <w:r>
              <w:rPr>
                <w:sz w:val="16"/>
              </w:rPr>
              <w:t xml:space="preserve">4</w:t>
            </w:r>
            <w:r>
              <w:rPr>
                <w:sz w:val="16"/>
              </w:rPr>
              <w:t xml:space="preserve">,</w:t>
            </w:r>
            <w:r>
              <w:rPr>
                <w:sz w:val="16"/>
              </w:rPr>
              <w:t xml:space="preserve">140</w:t>
            </w:r>
          </w:p>
        </w:tc>
        <w:tc>
          <w:tcPr>
            <w:tcW w:type="dxa" w:w="699"/>
            <w:tcMar>
              <w:left w:w="30" w:type="dxa"/>
              <w:right w:w="30" w:type="dxa"/>
            </w:tcMar>
          </w:tcPr>
          <w:p>
            <w:pPr>
              <w:pStyle w:val="Compact"/>
              <w:spacing w:after="0" w:before="0"/>
              <w:jc w:val="right"/>
            </w:pPr>
            <w:r>
              <w:rPr>
                <w:sz w:val="16"/>
              </w:rPr>
              <w:t xml:space="preserve">3.4</w:t>
            </w:r>
          </w:p>
        </w:tc>
        <w:tc>
          <w:tcPr>
            <w:tcW w:type="dxa" w:w="839"/>
            <w:tcMar>
              <w:left w:w="30" w:type="dxa"/>
              <w:right w:w="30" w:type="dxa"/>
            </w:tcMar>
          </w:tcPr>
          <w:p>
            <w:pPr>
              <w:pStyle w:val="Compact"/>
              <w:spacing w:after="0" w:before="0"/>
              <w:jc w:val="right"/>
            </w:pPr>
            <w:r>
              <w:rPr>
                <w:sz w:val="16"/>
              </w:rPr>
              <w:t xml:space="preserve">1</w:t>
            </w:r>
            <w:r>
              <w:rPr>
                <w:sz w:val="16"/>
              </w:rPr>
              <w:t xml:space="preserve">,</w:t>
            </w:r>
            <w:r>
              <w:rPr>
                <w:sz w:val="16"/>
              </w:rPr>
              <w:t xml:space="preserve">040</w:t>
            </w:r>
          </w:p>
        </w:tc>
        <w:tc>
          <w:tcPr>
            <w:tcW w:type="dxa" w:w="839"/>
            <w:tcMar>
              <w:left w:w="30" w:type="dxa"/>
              <w:right w:w="30" w:type="dxa"/>
            </w:tcMar>
          </w:tcPr>
          <w:p>
            <w:pPr>
              <w:pStyle w:val="Compact"/>
              <w:spacing w:after="0" w:before="0"/>
              <w:jc w:val="right"/>
            </w:pPr>
            <w:r>
              <w:rPr>
                <w:sz w:val="16"/>
              </w:rPr>
              <w:t xml:space="preserve">45.0</w:t>
            </w:r>
          </w:p>
        </w:tc>
        <w:tc>
          <w:tcPr>
            <w:tcW w:type="dxa" w:w="1119"/>
            <w:tcMar>
              <w:left w:w="30" w:type="dxa"/>
              <w:right w:w="30" w:type="dxa"/>
            </w:tcMar>
          </w:tcPr>
          <w:p>
            <w:pPr>
              <w:pStyle w:val="Compact"/>
              <w:spacing w:after="0" w:before="0"/>
              <w:jc w:val="right"/>
            </w:pPr>
            <w:r>
              <w:rPr>
                <w:sz w:val="16"/>
              </w:rPr>
              <w:t xml:space="preserve">2.13</w:t>
            </w:r>
          </w:p>
        </w:tc>
      </w:tr>
      <w:tr>
        <w:tc>
          <w:tcPr>
            <w:tcW w:type="dxa" w:w="3217"/>
            <w:tcMar>
              <w:left w:w="30" w:type="dxa"/>
              <w:right w:w="30" w:type="dxa"/>
            </w:tcMar>
          </w:tcPr>
          <w:p>
            <w:pPr>
              <w:pStyle w:val="Compact"/>
              <w:spacing w:after="0" w:before="0"/>
              <w:jc w:val="left"/>
            </w:pPr>
            <w:r>
              <w:rPr>
                <w:rStyle w:val="VerbatimChar"/>
                <w:sz w:val="16"/>
              </w:rPr>
              <w:t xml:space="preserve">technology_deployment</w:t>
            </w:r>
          </w:p>
        </w:tc>
        <w:tc>
          <w:tcPr>
            <w:tcW w:type="dxa" w:w="1958"/>
            <w:tcMar>
              <w:left w:w="30" w:type="dxa"/>
              <w:right w:w="30" w:type="dxa"/>
            </w:tcMar>
          </w:tcPr>
          <w:p>
            <w:pPr>
              <w:pStyle w:val="Compact"/>
              <w:spacing w:after="0" w:before="0"/>
              <w:jc w:val="left"/>
            </w:pPr>
            <w:r>
              <w:rPr>
                <w:sz w:val="16"/>
              </w:rPr>
              <w:t xml:space="preserve">Technology deployment</w:t>
            </w:r>
          </w:p>
        </w:tc>
        <w:tc>
          <w:tcPr>
            <w:tcW w:type="dxa" w:w="1119"/>
            <w:tcMar>
              <w:left w:w="30" w:type="dxa"/>
              <w:right w:w="30" w:type="dxa"/>
            </w:tcMar>
          </w:tcPr>
          <w:p>
            <w:pPr>
              <w:pStyle w:val="Compact"/>
              <w:spacing w:after="0" w:before="0"/>
              <w:jc w:val="right"/>
            </w:pPr>
            <w:r>
              <w:rPr>
                <w:sz w:val="16"/>
              </w:rPr>
              <w:t xml:space="preserve">4</w:t>
            </w:r>
            <w:r>
              <w:rPr>
                <w:sz w:val="16"/>
              </w:rPr>
              <w:t xml:space="preserve">,</w:t>
            </w:r>
            <w:r>
              <w:rPr>
                <w:sz w:val="16"/>
              </w:rPr>
              <w:t xml:space="preserve">128</w:t>
            </w:r>
          </w:p>
        </w:tc>
        <w:tc>
          <w:tcPr>
            <w:tcW w:type="dxa" w:w="699"/>
            <w:tcMar>
              <w:left w:w="30" w:type="dxa"/>
              <w:right w:w="30" w:type="dxa"/>
            </w:tcMar>
          </w:tcPr>
          <w:p>
            <w:pPr>
              <w:pStyle w:val="Compact"/>
              <w:spacing w:after="0" w:before="0"/>
              <w:jc w:val="right"/>
            </w:pPr>
            <w:r>
              <w:rPr>
                <w:sz w:val="16"/>
              </w:rPr>
              <w:t xml:space="preserve">3.4</w:t>
            </w:r>
          </w:p>
        </w:tc>
        <w:tc>
          <w:tcPr>
            <w:tcW w:type="dxa" w:w="839"/>
            <w:tcMar>
              <w:left w:w="30" w:type="dxa"/>
              <w:right w:w="30" w:type="dxa"/>
            </w:tcMar>
          </w:tcPr>
          <w:p>
            <w:pPr>
              <w:pStyle w:val="Compact"/>
              <w:spacing w:after="0" w:before="0"/>
              <w:jc w:val="right"/>
            </w:pPr>
            <w:r>
              <w:rPr>
                <w:sz w:val="16"/>
              </w:rPr>
              <w:t xml:space="preserve">1</w:t>
            </w:r>
            <w:r>
              <w:rPr>
                <w:sz w:val="16"/>
              </w:rPr>
              <w:t xml:space="preserve">,</w:t>
            </w:r>
            <w:r>
              <w:rPr>
                <w:sz w:val="16"/>
              </w:rPr>
              <w:t xml:space="preserve">219</w:t>
            </w:r>
          </w:p>
        </w:tc>
        <w:tc>
          <w:tcPr>
            <w:tcW w:type="dxa" w:w="839"/>
            <w:tcMar>
              <w:left w:w="30" w:type="dxa"/>
              <w:right w:w="30" w:type="dxa"/>
            </w:tcMar>
          </w:tcPr>
          <w:p>
            <w:pPr>
              <w:pStyle w:val="Compact"/>
              <w:spacing w:after="0" w:before="0"/>
              <w:jc w:val="right"/>
            </w:pPr>
            <w:r>
              <w:rPr>
                <w:sz w:val="16"/>
              </w:rPr>
              <w:t xml:space="preserve">135.0</w:t>
            </w:r>
          </w:p>
        </w:tc>
        <w:tc>
          <w:tcPr>
            <w:tcW w:type="dxa" w:w="1119"/>
            <w:tcMar>
              <w:left w:w="30" w:type="dxa"/>
              <w:right w:w="30" w:type="dxa"/>
            </w:tcMar>
          </w:tcPr>
          <w:p>
            <w:pPr>
              <w:pStyle w:val="Compact"/>
              <w:spacing w:after="0" w:before="0"/>
              <w:jc w:val="right"/>
            </w:pPr>
            <w:r>
              <w:rPr>
                <w:sz w:val="16"/>
              </w:rPr>
              <w:t xml:space="preserve">1.63</w:t>
            </w:r>
          </w:p>
        </w:tc>
      </w:tr>
      <w:tr>
        <w:tc>
          <w:tcPr>
            <w:tcW w:type="dxa" w:w="3217"/>
            <w:tcMar>
              <w:left w:w="30" w:type="dxa"/>
              <w:right w:w="30" w:type="dxa"/>
            </w:tcMar>
          </w:tcPr>
          <w:p>
            <w:pPr>
              <w:pStyle w:val="Compact"/>
              <w:spacing w:after="0" w:before="0"/>
              <w:jc w:val="left"/>
            </w:pPr>
            <w:r>
              <w:rPr>
                <w:rStyle w:val="VerbatimChar"/>
                <w:sz w:val="16"/>
              </w:rPr>
              <w:t xml:space="preserve">digital_transformation</w:t>
            </w:r>
          </w:p>
        </w:tc>
        <w:tc>
          <w:tcPr>
            <w:tcW w:type="dxa" w:w="1958"/>
            <w:tcMar>
              <w:left w:w="30" w:type="dxa"/>
              <w:right w:w="30" w:type="dxa"/>
            </w:tcMar>
          </w:tcPr>
          <w:p>
            <w:pPr>
              <w:pStyle w:val="Compact"/>
              <w:spacing w:after="0" w:before="0"/>
              <w:jc w:val="left"/>
            </w:pPr>
            <w:r>
              <w:rPr>
                <w:sz w:val="16"/>
              </w:rPr>
              <w:t xml:space="preserve">Digital transformation</w:t>
            </w:r>
          </w:p>
        </w:tc>
        <w:tc>
          <w:tcPr>
            <w:tcW w:type="dxa" w:w="1119"/>
            <w:tcMar>
              <w:left w:w="30" w:type="dxa"/>
              <w:right w:w="30" w:type="dxa"/>
            </w:tcMar>
          </w:tcPr>
          <w:p>
            <w:pPr>
              <w:pStyle w:val="Compact"/>
              <w:spacing w:after="0" w:before="0"/>
              <w:jc w:val="right"/>
            </w:pPr>
            <w:r>
              <w:rPr>
                <w:sz w:val="16"/>
              </w:rPr>
              <w:t xml:space="preserve">2</w:t>
            </w:r>
            <w:r>
              <w:rPr>
                <w:sz w:val="16"/>
              </w:rPr>
              <w:t xml:space="preserve">,</w:t>
            </w:r>
            <w:r>
              <w:rPr>
                <w:sz w:val="16"/>
              </w:rPr>
              <w:t xml:space="preserve">642</w:t>
            </w:r>
          </w:p>
        </w:tc>
        <w:tc>
          <w:tcPr>
            <w:tcW w:type="dxa" w:w="699"/>
            <w:tcMar>
              <w:left w:w="30" w:type="dxa"/>
              <w:right w:w="30" w:type="dxa"/>
            </w:tcMar>
          </w:tcPr>
          <w:p>
            <w:pPr>
              <w:pStyle w:val="Compact"/>
              <w:spacing w:after="0" w:before="0"/>
              <w:jc w:val="right"/>
            </w:pPr>
            <w:r>
              <w:rPr>
                <w:sz w:val="16"/>
              </w:rPr>
              <w:t xml:space="preserve">2.2</w:t>
            </w:r>
          </w:p>
        </w:tc>
        <w:tc>
          <w:tcPr>
            <w:tcW w:type="dxa" w:w="839"/>
            <w:tcMar>
              <w:left w:w="30" w:type="dxa"/>
              <w:right w:w="30" w:type="dxa"/>
            </w:tcMar>
          </w:tcPr>
          <w:p>
            <w:pPr>
              <w:pStyle w:val="Compact"/>
              <w:spacing w:after="0" w:before="0"/>
              <w:jc w:val="right"/>
            </w:pPr>
            <w:r>
              <w:rPr>
                <w:sz w:val="16"/>
              </w:rPr>
              <w:t xml:space="preserve">240</w:t>
            </w:r>
          </w:p>
        </w:tc>
        <w:tc>
          <w:tcPr>
            <w:tcW w:type="dxa" w:w="839"/>
            <w:tcMar>
              <w:left w:w="30" w:type="dxa"/>
              <w:right w:w="30" w:type="dxa"/>
            </w:tcMar>
          </w:tcPr>
          <w:p>
            <w:pPr>
              <w:pStyle w:val="Compact"/>
              <w:spacing w:after="0" w:before="0"/>
              <w:jc w:val="right"/>
            </w:pPr>
            <w:r>
              <w:rPr>
                <w:sz w:val="16"/>
              </w:rPr>
              <w:t xml:space="preserve">34.2</w:t>
            </w:r>
          </w:p>
        </w:tc>
        <w:tc>
          <w:tcPr>
            <w:tcW w:type="dxa" w:w="1119"/>
            <w:tcMar>
              <w:left w:w="30" w:type="dxa"/>
              <w:right w:w="30" w:type="dxa"/>
            </w:tcMar>
          </w:tcPr>
          <w:p>
            <w:pPr>
              <w:pStyle w:val="Compact"/>
              <w:spacing w:after="0" w:before="0"/>
              <w:jc w:val="right"/>
            </w:pPr>
            <w:r>
              <w:rPr>
                <w:sz w:val="16"/>
              </w:rPr>
              <w:t xml:space="preserve">1.99</w:t>
            </w:r>
          </w:p>
        </w:tc>
      </w:tr>
      <w:tr>
        <w:tc>
          <w:tcPr>
            <w:tcW w:type="dxa" w:w="3217"/>
            <w:tcMar>
              <w:left w:w="30" w:type="dxa"/>
              <w:right w:w="30" w:type="dxa"/>
            </w:tcMar>
          </w:tcPr>
          <w:p>
            <w:pPr>
              <w:pStyle w:val="Compact"/>
              <w:spacing w:after="0" w:before="0"/>
              <w:jc w:val="left"/>
            </w:pPr>
            <w:r>
              <w:rPr>
                <w:rStyle w:val="VerbatimChar"/>
                <w:sz w:val="16"/>
              </w:rPr>
              <w:t xml:space="preserve">erp_implementation</w:t>
            </w:r>
          </w:p>
        </w:tc>
        <w:tc>
          <w:tcPr>
            <w:tcW w:type="dxa" w:w="1958"/>
            <w:tcMar>
              <w:left w:w="30" w:type="dxa"/>
              <w:right w:w="30" w:type="dxa"/>
            </w:tcMar>
          </w:tcPr>
          <w:p>
            <w:pPr>
              <w:pStyle w:val="Compact"/>
              <w:spacing w:after="0" w:before="0"/>
              <w:jc w:val="left"/>
            </w:pPr>
            <w:r>
              <w:rPr>
                <w:sz w:val="16"/>
              </w:rPr>
              <w:t xml:space="preserve">ERP / systems implementation</w:t>
            </w:r>
          </w:p>
        </w:tc>
        <w:tc>
          <w:tcPr>
            <w:tcW w:type="dxa" w:w="1119"/>
            <w:tcMar>
              <w:left w:w="30" w:type="dxa"/>
              <w:right w:w="30" w:type="dxa"/>
            </w:tcMar>
          </w:tcPr>
          <w:p>
            <w:pPr>
              <w:pStyle w:val="Compact"/>
              <w:spacing w:after="0" w:before="0"/>
              <w:jc w:val="right"/>
            </w:pPr>
            <w:r>
              <w:rPr>
                <w:sz w:val="16"/>
              </w:rPr>
              <w:t xml:space="preserve">1</w:t>
            </w:r>
            <w:r>
              <w:rPr>
                <w:sz w:val="16"/>
              </w:rPr>
              <w:t xml:space="preserve">,</w:t>
            </w:r>
            <w:r>
              <w:rPr>
                <w:sz w:val="16"/>
              </w:rPr>
              <w:t xml:space="preserve">735</w:t>
            </w:r>
          </w:p>
        </w:tc>
        <w:tc>
          <w:tcPr>
            <w:tcW w:type="dxa" w:w="699"/>
            <w:tcMar>
              <w:left w:w="30" w:type="dxa"/>
              <w:right w:w="30" w:type="dxa"/>
            </w:tcMar>
          </w:tcPr>
          <w:p>
            <w:pPr>
              <w:pStyle w:val="Compact"/>
              <w:spacing w:after="0" w:before="0"/>
              <w:jc w:val="right"/>
            </w:pPr>
            <w:r>
              <w:rPr>
                <w:sz w:val="16"/>
              </w:rPr>
              <w:t xml:space="preserve">1.4</w:t>
            </w:r>
          </w:p>
        </w:tc>
        <w:tc>
          <w:tcPr>
            <w:tcW w:type="dxa" w:w="839"/>
            <w:tcMar>
              <w:left w:w="30" w:type="dxa"/>
              <w:right w:w="30" w:type="dxa"/>
            </w:tcMar>
          </w:tcPr>
          <w:p>
            <w:pPr>
              <w:pStyle w:val="Compact"/>
              <w:spacing w:after="0" w:before="0"/>
              <w:jc w:val="right"/>
            </w:pPr>
            <w:r>
              <w:rPr>
                <w:sz w:val="16"/>
              </w:rPr>
              <w:t xml:space="preserve">184</w:t>
            </w:r>
          </w:p>
        </w:tc>
        <w:tc>
          <w:tcPr>
            <w:tcW w:type="dxa" w:w="839"/>
            <w:tcMar>
              <w:left w:w="30" w:type="dxa"/>
              <w:right w:w="30" w:type="dxa"/>
            </w:tcMar>
          </w:tcPr>
          <w:p>
            <w:pPr>
              <w:pStyle w:val="Compact"/>
              <w:spacing w:after="0" w:before="0"/>
              <w:jc w:val="right"/>
            </w:pPr>
            <w:r>
              <w:rPr>
                <w:sz w:val="16"/>
              </w:rPr>
              <w:t xml:space="preserve">15.0</w:t>
            </w:r>
          </w:p>
        </w:tc>
        <w:tc>
          <w:tcPr>
            <w:tcW w:type="dxa" w:w="1119"/>
            <w:tcMar>
              <w:left w:w="30" w:type="dxa"/>
              <w:right w:w="30" w:type="dxa"/>
            </w:tcMar>
          </w:tcPr>
          <w:p>
            <w:pPr>
              <w:pStyle w:val="Compact"/>
              <w:spacing w:after="0" w:before="0"/>
              <w:jc w:val="right"/>
            </w:pPr>
            <w:r>
              <w:rPr>
                <w:sz w:val="16"/>
              </w:rPr>
              <w:t xml:space="preserve">2.44</w:t>
            </w:r>
          </w:p>
        </w:tc>
      </w:tr>
      <w:tr>
        <w:tc>
          <w:tcPr>
            <w:tcW w:type="dxa" w:w="3217"/>
            <w:tcMar>
              <w:left w:w="30" w:type="dxa"/>
              <w:right w:w="30" w:type="dxa"/>
            </w:tcMar>
          </w:tcPr>
          <w:p>
            <w:pPr>
              <w:pStyle w:val="Compact"/>
              <w:spacing w:after="0" w:before="0"/>
              <w:jc w:val="left"/>
            </w:pPr>
            <w:r>
              <w:rPr>
                <w:rStyle w:val="VerbatimChar"/>
                <w:sz w:val="16"/>
              </w:rPr>
              <w:t xml:space="preserve">sustainability</w:t>
            </w:r>
          </w:p>
        </w:tc>
        <w:tc>
          <w:tcPr>
            <w:tcW w:type="dxa" w:w="1958"/>
            <w:tcMar>
              <w:left w:w="30" w:type="dxa"/>
              <w:right w:w="30" w:type="dxa"/>
            </w:tcMar>
          </w:tcPr>
          <w:p>
            <w:pPr>
              <w:pStyle w:val="Compact"/>
              <w:spacing w:after="0" w:before="0"/>
              <w:jc w:val="left"/>
            </w:pPr>
            <w:r>
              <w:rPr>
                <w:sz w:val="16"/>
              </w:rPr>
              <w:t xml:space="preserve">Sustainability / ESG</w:t>
            </w:r>
          </w:p>
        </w:tc>
        <w:tc>
          <w:tcPr>
            <w:tcW w:type="dxa" w:w="1119"/>
            <w:tcMar>
              <w:left w:w="30" w:type="dxa"/>
              <w:right w:w="30" w:type="dxa"/>
            </w:tcMar>
          </w:tcPr>
          <w:p>
            <w:pPr>
              <w:pStyle w:val="Compact"/>
              <w:spacing w:after="0" w:before="0"/>
              <w:jc w:val="right"/>
            </w:pPr>
            <w:r>
              <w:rPr>
                <w:sz w:val="16"/>
              </w:rPr>
              <w:t xml:space="preserve">1</w:t>
            </w:r>
            <w:r>
              <w:rPr>
                <w:sz w:val="16"/>
              </w:rPr>
              <w:t xml:space="preserve">,</w:t>
            </w:r>
            <w:r>
              <w:rPr>
                <w:sz w:val="16"/>
              </w:rPr>
              <w:t xml:space="preserve">305</w:t>
            </w:r>
          </w:p>
        </w:tc>
        <w:tc>
          <w:tcPr>
            <w:tcW w:type="dxa" w:w="699"/>
            <w:tcMar>
              <w:left w:w="30" w:type="dxa"/>
              <w:right w:w="30" w:type="dxa"/>
            </w:tcMar>
          </w:tcPr>
          <w:p>
            <w:pPr>
              <w:pStyle w:val="Compact"/>
              <w:spacing w:after="0" w:before="0"/>
              <w:jc w:val="right"/>
            </w:pPr>
            <w:r>
              <w:rPr>
                <w:sz w:val="16"/>
              </w:rPr>
              <w:t xml:space="preserve">1.1</w:t>
            </w:r>
          </w:p>
        </w:tc>
        <w:tc>
          <w:tcPr>
            <w:tcW w:type="dxa" w:w="839"/>
            <w:tcMar>
              <w:left w:w="30" w:type="dxa"/>
              <w:right w:w="30" w:type="dxa"/>
            </w:tcMar>
          </w:tcPr>
          <w:p>
            <w:pPr>
              <w:pStyle w:val="Compact"/>
              <w:spacing w:after="0" w:before="0"/>
              <w:jc w:val="right"/>
            </w:pPr>
            <w:r>
              <w:rPr>
                <w:sz w:val="16"/>
              </w:rPr>
              <w:t xml:space="preserve">410</w:t>
            </w:r>
          </w:p>
        </w:tc>
        <w:tc>
          <w:tcPr>
            <w:tcW w:type="dxa" w:w="839"/>
            <w:tcMar>
              <w:left w:w="30" w:type="dxa"/>
              <w:right w:w="30" w:type="dxa"/>
            </w:tcMar>
          </w:tcPr>
          <w:p>
            <w:pPr>
              <w:pStyle w:val="Compact"/>
              <w:spacing w:after="0" w:before="0"/>
              <w:jc w:val="right"/>
            </w:pPr>
            <w:r>
              <w:rPr>
                <w:sz w:val="16"/>
              </w:rPr>
              <w:t xml:space="preserve">34.4</w:t>
            </w:r>
          </w:p>
        </w:tc>
        <w:tc>
          <w:tcPr>
            <w:tcW w:type="dxa" w:w="1119"/>
            <w:tcMar>
              <w:left w:w="30" w:type="dxa"/>
              <w:right w:w="30" w:type="dxa"/>
            </w:tcMar>
          </w:tcPr>
          <w:p>
            <w:pPr>
              <w:pStyle w:val="Compact"/>
              <w:spacing w:after="0" w:before="0"/>
              <w:jc w:val="right"/>
            </w:pPr>
            <w:r>
              <w:rPr>
                <w:sz w:val="16"/>
              </w:rPr>
              <w:t xml:space="preserve">2.00</w:t>
            </w:r>
          </w:p>
        </w:tc>
      </w:tr>
      <w:tr>
        <w:tc>
          <w:tcPr>
            <w:tcW w:type="dxa" w:w="3217"/>
            <w:tcMar>
              <w:left w:w="30" w:type="dxa"/>
              <w:right w:w="30" w:type="dxa"/>
            </w:tcMar>
          </w:tcPr>
          <w:p>
            <w:pPr>
              <w:pStyle w:val="Compact"/>
              <w:spacing w:after="0" w:before="0"/>
              <w:jc w:val="left"/>
            </w:pPr>
            <w:r>
              <w:rPr>
                <w:rStyle w:val="VerbatimChar"/>
                <w:sz w:val="16"/>
              </w:rPr>
              <w:t xml:space="preserve">supply_chain</w:t>
            </w:r>
          </w:p>
        </w:tc>
        <w:tc>
          <w:tcPr>
            <w:tcW w:type="dxa" w:w="1958"/>
            <w:tcMar>
              <w:left w:w="30" w:type="dxa"/>
              <w:right w:w="30" w:type="dxa"/>
            </w:tcMar>
          </w:tcPr>
          <w:p>
            <w:pPr>
              <w:pStyle w:val="Compact"/>
              <w:spacing w:after="0" w:before="0"/>
              <w:jc w:val="left"/>
            </w:pPr>
            <w:r>
              <w:rPr>
                <w:sz w:val="16"/>
              </w:rPr>
              <w:t xml:space="preserve">Supply-chain initiative</w:t>
            </w:r>
          </w:p>
        </w:tc>
        <w:tc>
          <w:tcPr>
            <w:tcW w:type="dxa" w:w="1119"/>
            <w:tcMar>
              <w:left w:w="30" w:type="dxa"/>
              <w:right w:w="30" w:type="dxa"/>
            </w:tcMar>
          </w:tcPr>
          <w:p>
            <w:pPr>
              <w:pStyle w:val="Compact"/>
              <w:spacing w:after="0" w:before="0"/>
              <w:jc w:val="right"/>
            </w:pPr>
            <w:r>
              <w:rPr>
                <w:sz w:val="16"/>
              </w:rPr>
              <w:t xml:space="preserve">684</w:t>
            </w:r>
          </w:p>
        </w:tc>
        <w:tc>
          <w:tcPr>
            <w:tcW w:type="dxa" w:w="699"/>
            <w:tcMar>
              <w:left w:w="30" w:type="dxa"/>
              <w:right w:w="30" w:type="dxa"/>
            </w:tcMar>
          </w:tcPr>
          <w:p>
            <w:pPr>
              <w:pStyle w:val="Compact"/>
              <w:spacing w:after="0" w:before="0"/>
              <w:jc w:val="right"/>
            </w:pPr>
            <w:r>
              <w:rPr>
                <w:sz w:val="16"/>
              </w:rPr>
              <w:t xml:space="preserve">0.6</w:t>
            </w:r>
          </w:p>
        </w:tc>
        <w:tc>
          <w:tcPr>
            <w:tcW w:type="dxa" w:w="839"/>
            <w:tcMar>
              <w:left w:w="30" w:type="dxa"/>
              <w:right w:w="30" w:type="dxa"/>
            </w:tcMar>
          </w:tcPr>
          <w:p>
            <w:pPr>
              <w:pStyle w:val="Compact"/>
              <w:spacing w:after="0" w:before="0"/>
              <w:jc w:val="right"/>
            </w:pPr>
            <w:r>
              <w:rPr>
                <w:sz w:val="16"/>
              </w:rPr>
              <w:t xml:space="preserve">139</w:t>
            </w:r>
          </w:p>
        </w:tc>
        <w:tc>
          <w:tcPr>
            <w:tcW w:type="dxa" w:w="839"/>
            <w:tcMar>
              <w:left w:w="30" w:type="dxa"/>
              <w:right w:w="30" w:type="dxa"/>
            </w:tcMar>
          </w:tcPr>
          <w:p>
            <w:pPr>
              <w:pStyle w:val="Compact"/>
              <w:spacing w:after="0" w:before="0"/>
              <w:jc w:val="right"/>
            </w:pPr>
            <w:r>
              <w:rPr>
                <w:sz w:val="16"/>
              </w:rPr>
              <w:t xml:space="preserve">38.0</w:t>
            </w:r>
          </w:p>
        </w:tc>
        <w:tc>
          <w:tcPr>
            <w:tcW w:type="dxa" w:w="1119"/>
            <w:tcMar>
              <w:left w:w="30" w:type="dxa"/>
              <w:right w:w="30" w:type="dxa"/>
            </w:tcMar>
          </w:tcPr>
          <w:p>
            <w:pPr>
              <w:pStyle w:val="Compact"/>
              <w:spacing w:after="0" w:before="0"/>
              <w:jc w:val="right"/>
            </w:pPr>
            <w:r>
              <w:rPr>
                <w:sz w:val="16"/>
              </w:rPr>
              <w:t xml:space="preserve">1.71</w:t>
            </w:r>
          </w:p>
        </w:tc>
      </w:tr>
      <w:tr>
        <w:tc>
          <w:tcPr>
            <w:tcW w:type="dxa" w:w="3217"/>
            <w:tcMar>
              <w:left w:w="30" w:type="dxa"/>
              <w:right w:w="30" w:type="dxa"/>
            </w:tcMar>
          </w:tcPr>
          <w:p>
            <w:pPr>
              <w:pStyle w:val="Compact"/>
              <w:spacing w:after="0" w:before="0"/>
              <w:jc w:val="left"/>
            </w:pPr>
            <w:r>
              <w:rPr>
                <w:rStyle w:val="VerbatimChar"/>
                <w:sz w:val="16"/>
              </w:rPr>
              <w:t xml:space="preserve">data_center</w:t>
            </w:r>
          </w:p>
        </w:tc>
        <w:tc>
          <w:tcPr>
            <w:tcW w:type="dxa" w:w="1958"/>
            <w:tcMar>
              <w:left w:w="30" w:type="dxa"/>
              <w:right w:w="30" w:type="dxa"/>
            </w:tcMar>
          </w:tcPr>
          <w:p>
            <w:pPr>
              <w:pStyle w:val="Compact"/>
              <w:spacing w:after="0" w:before="0"/>
              <w:jc w:val="left"/>
            </w:pPr>
            <w:r>
              <w:rPr>
                <w:sz w:val="16"/>
              </w:rPr>
              <w:t xml:space="preserve">Data center</w:t>
            </w:r>
          </w:p>
        </w:tc>
        <w:tc>
          <w:tcPr>
            <w:tcW w:type="dxa" w:w="1119"/>
            <w:tcMar>
              <w:left w:w="30" w:type="dxa"/>
              <w:right w:w="30" w:type="dxa"/>
            </w:tcMar>
          </w:tcPr>
          <w:p>
            <w:pPr>
              <w:pStyle w:val="Compact"/>
              <w:spacing w:after="0" w:before="0"/>
              <w:jc w:val="right"/>
            </w:pPr>
            <w:r>
              <w:rPr>
                <w:sz w:val="16"/>
              </w:rPr>
              <w:t xml:space="preserve">449</w:t>
            </w:r>
          </w:p>
        </w:tc>
        <w:tc>
          <w:tcPr>
            <w:tcW w:type="dxa" w:w="699"/>
            <w:tcMar>
              <w:left w:w="30" w:type="dxa"/>
              <w:right w:w="30" w:type="dxa"/>
            </w:tcMar>
          </w:tcPr>
          <w:p>
            <w:pPr>
              <w:pStyle w:val="Compact"/>
              <w:spacing w:after="0" w:before="0"/>
              <w:jc w:val="right"/>
            </w:pPr>
            <w:r>
              <w:rPr>
                <w:sz w:val="16"/>
              </w:rPr>
              <w:t xml:space="preserve">0.4</w:t>
            </w:r>
          </w:p>
        </w:tc>
        <w:tc>
          <w:tcPr>
            <w:tcW w:type="dxa" w:w="839"/>
            <w:tcMar>
              <w:left w:w="30" w:type="dxa"/>
              <w:right w:w="30" w:type="dxa"/>
            </w:tcMar>
          </w:tcPr>
          <w:p>
            <w:pPr>
              <w:pStyle w:val="Compact"/>
              <w:spacing w:after="0" w:before="0"/>
              <w:jc w:val="right"/>
            </w:pPr>
            <w:r>
              <w:rPr>
                <w:sz w:val="16"/>
              </w:rPr>
              <w:t xml:space="preserve">129</w:t>
            </w:r>
          </w:p>
        </w:tc>
        <w:tc>
          <w:tcPr>
            <w:tcW w:type="dxa" w:w="839"/>
            <w:tcMar>
              <w:left w:w="30" w:type="dxa"/>
              <w:right w:w="30" w:type="dxa"/>
            </w:tcMar>
          </w:tcPr>
          <w:p>
            <w:pPr>
              <w:pStyle w:val="Compact"/>
              <w:spacing w:after="0" w:before="0"/>
              <w:jc w:val="right"/>
            </w:pPr>
            <w:r>
              <w:rPr>
                <w:sz w:val="16"/>
              </w:rPr>
              <w:t xml:space="preserve">166.0</w:t>
            </w:r>
          </w:p>
        </w:tc>
        <w:tc>
          <w:tcPr>
            <w:tcW w:type="dxa" w:w="1119"/>
            <w:tcMar>
              <w:left w:w="30" w:type="dxa"/>
              <w:right w:w="30" w:type="dxa"/>
            </w:tcMar>
          </w:tcPr>
          <w:p>
            <w:pPr>
              <w:pStyle w:val="Compact"/>
              <w:spacing w:after="0" w:before="0"/>
              <w:jc w:val="right"/>
            </w:pPr>
            <w:r>
              <w:rPr>
                <w:sz w:val="16"/>
              </w:rPr>
              <w:t xml:space="preserve">1.98</w:t>
            </w:r>
          </w:p>
        </w:tc>
      </w:tr>
      <w:tr>
        <w:tc>
          <w:tcPr>
            <w:tcW w:type="dxa" w:w="3217"/>
            <w:tcMar>
              <w:left w:w="30" w:type="dxa"/>
              <w:right w:w="30" w:type="dxa"/>
            </w:tcMar>
          </w:tcPr>
          <w:p>
            <w:pPr>
              <w:pStyle w:val="Compact"/>
              <w:spacing w:after="0" w:before="0"/>
              <w:jc w:val="left"/>
            </w:pPr>
            <w:r>
              <w:rPr>
                <w:rStyle w:val="VerbatimChar"/>
                <w:sz w:val="16"/>
              </w:rPr>
              <w:t xml:space="preserve">energy_transition</w:t>
            </w:r>
          </w:p>
        </w:tc>
        <w:tc>
          <w:tcPr>
            <w:tcW w:type="dxa" w:w="1958"/>
            <w:tcMar>
              <w:left w:w="30" w:type="dxa"/>
              <w:right w:w="30" w:type="dxa"/>
            </w:tcMar>
          </w:tcPr>
          <w:p>
            <w:pPr>
              <w:pStyle w:val="Compact"/>
              <w:spacing w:after="0" w:before="0"/>
              <w:jc w:val="left"/>
            </w:pPr>
            <w:r>
              <w:rPr>
                <w:sz w:val="16"/>
              </w:rPr>
              <w:t xml:space="preserve">Energy transition / renewables</w:t>
            </w:r>
          </w:p>
        </w:tc>
        <w:tc>
          <w:tcPr>
            <w:tcW w:type="dxa" w:w="1119"/>
            <w:tcMar>
              <w:left w:w="30" w:type="dxa"/>
              <w:right w:w="30" w:type="dxa"/>
            </w:tcMar>
          </w:tcPr>
          <w:p>
            <w:pPr>
              <w:pStyle w:val="Compact"/>
              <w:spacing w:after="0" w:before="0"/>
              <w:jc w:val="right"/>
            </w:pPr>
            <w:r>
              <w:rPr>
                <w:sz w:val="16"/>
              </w:rPr>
              <w:t xml:space="preserve">415</w:t>
            </w:r>
          </w:p>
        </w:tc>
        <w:tc>
          <w:tcPr>
            <w:tcW w:type="dxa" w:w="699"/>
            <w:tcMar>
              <w:left w:w="30" w:type="dxa"/>
              <w:right w:w="30" w:type="dxa"/>
            </w:tcMar>
          </w:tcPr>
          <w:p>
            <w:pPr>
              <w:pStyle w:val="Compact"/>
              <w:spacing w:after="0" w:before="0"/>
              <w:jc w:val="right"/>
            </w:pPr>
            <w:r>
              <w:rPr>
                <w:sz w:val="16"/>
              </w:rPr>
              <w:t xml:space="preserve">0.3</w:t>
            </w:r>
          </w:p>
        </w:tc>
        <w:tc>
          <w:tcPr>
            <w:tcW w:type="dxa" w:w="839"/>
            <w:tcMar>
              <w:left w:w="30" w:type="dxa"/>
              <w:right w:w="30" w:type="dxa"/>
            </w:tcMar>
          </w:tcPr>
          <w:p>
            <w:pPr>
              <w:pStyle w:val="Compact"/>
              <w:spacing w:after="0" w:before="0"/>
              <w:jc w:val="right"/>
            </w:pPr>
            <w:r>
              <w:rPr>
                <w:sz w:val="16"/>
              </w:rPr>
              <w:t xml:space="preserve">109</w:t>
            </w:r>
          </w:p>
        </w:tc>
        <w:tc>
          <w:tcPr>
            <w:tcW w:type="dxa" w:w="839"/>
            <w:tcMar>
              <w:left w:w="30" w:type="dxa"/>
              <w:right w:w="30" w:type="dxa"/>
            </w:tcMar>
          </w:tcPr>
          <w:p>
            <w:pPr>
              <w:pStyle w:val="Compact"/>
              <w:spacing w:after="0" w:before="0"/>
              <w:jc w:val="right"/>
            </w:pPr>
            <w:r>
              <w:rPr>
                <w:sz w:val="16"/>
              </w:rPr>
              <w:t xml:space="preserve">109.0</w:t>
            </w:r>
          </w:p>
        </w:tc>
        <w:tc>
          <w:tcPr>
            <w:tcW w:type="dxa" w:w="1119"/>
            <w:tcMar>
              <w:left w:w="30" w:type="dxa"/>
              <w:right w:w="30" w:type="dxa"/>
            </w:tcMar>
          </w:tcPr>
          <w:p>
            <w:pPr>
              <w:pStyle w:val="Compact"/>
              <w:spacing w:after="0" w:before="0"/>
              <w:jc w:val="right"/>
            </w:pPr>
            <w:r>
              <w:rPr>
                <w:sz w:val="16"/>
              </w:rPr>
              <w:t xml:space="preserve">2.09</w:t>
            </w:r>
          </w:p>
        </w:tc>
      </w:tr>
      <w:tr>
        <w:tc>
          <w:tcPr>
            <w:tcW w:type="dxa" w:w="3217"/>
            <w:tcMar>
              <w:left w:w="30" w:type="dxa"/>
              <w:right w:w="30" w:type="dxa"/>
            </w:tcMar>
          </w:tcPr>
          <w:p>
            <w:pPr>
              <w:pStyle w:val="Compact"/>
              <w:spacing w:after="0" w:before="0"/>
              <w:jc w:val="left"/>
            </w:pPr>
            <w:r>
              <w:rPr>
                <w:rStyle w:val="VerbatimChar"/>
                <w:sz w:val="16"/>
              </w:rPr>
              <w:t xml:space="preserve">ai_initiative</w:t>
            </w:r>
          </w:p>
        </w:tc>
        <w:tc>
          <w:tcPr>
            <w:tcW w:type="dxa" w:w="1958"/>
            <w:tcMar>
              <w:left w:w="30" w:type="dxa"/>
              <w:right w:w="30" w:type="dxa"/>
            </w:tcMar>
          </w:tcPr>
          <w:p>
            <w:pPr>
              <w:pStyle w:val="Compact"/>
              <w:spacing w:after="0" w:before="0"/>
              <w:jc w:val="left"/>
            </w:pPr>
            <w:r>
              <w:rPr>
                <w:sz w:val="16"/>
              </w:rPr>
              <w:t xml:space="preserve">AI / ML initiative</w:t>
            </w:r>
          </w:p>
        </w:tc>
        <w:tc>
          <w:tcPr>
            <w:tcW w:type="dxa" w:w="1119"/>
            <w:tcMar>
              <w:left w:w="30" w:type="dxa"/>
              <w:right w:w="30" w:type="dxa"/>
            </w:tcMar>
          </w:tcPr>
          <w:p>
            <w:pPr>
              <w:pStyle w:val="Compact"/>
              <w:spacing w:after="0" w:before="0"/>
              <w:jc w:val="right"/>
            </w:pPr>
            <w:r>
              <w:rPr>
                <w:sz w:val="16"/>
              </w:rPr>
              <w:t xml:space="preserve">376</w:t>
            </w:r>
          </w:p>
        </w:tc>
        <w:tc>
          <w:tcPr>
            <w:tcW w:type="dxa" w:w="699"/>
            <w:tcMar>
              <w:left w:w="30" w:type="dxa"/>
              <w:right w:w="30" w:type="dxa"/>
            </w:tcMar>
          </w:tcPr>
          <w:p>
            <w:pPr>
              <w:pStyle w:val="Compact"/>
              <w:spacing w:after="0" w:before="0"/>
              <w:jc w:val="right"/>
            </w:pPr>
            <w:r>
              <w:rPr>
                <w:sz w:val="16"/>
              </w:rPr>
              <w:t xml:space="preserve">0.3</w:t>
            </w:r>
          </w:p>
        </w:tc>
        <w:tc>
          <w:tcPr>
            <w:tcW w:type="dxa" w:w="839"/>
            <w:tcMar>
              <w:left w:w="30" w:type="dxa"/>
              <w:right w:w="30" w:type="dxa"/>
            </w:tcMar>
          </w:tcPr>
          <w:p>
            <w:pPr>
              <w:pStyle w:val="Compact"/>
              <w:spacing w:after="0" w:before="0"/>
              <w:jc w:val="right"/>
            </w:pPr>
            <w:r>
              <w:rPr>
                <w:sz w:val="16"/>
              </w:rPr>
              <w:t xml:space="preserve">20</w:t>
            </w:r>
          </w:p>
        </w:tc>
        <w:tc>
          <w:tcPr>
            <w:tcW w:type="dxa" w:w="839"/>
            <w:tcMar>
              <w:left w:w="30" w:type="dxa"/>
              <w:right w:w="30" w:type="dxa"/>
            </w:tcMar>
          </w:tcPr>
          <w:p>
            <w:pPr>
              <w:pStyle w:val="Compact"/>
              <w:spacing w:after="0" w:before="0"/>
              <w:jc w:val="right"/>
            </w:pPr>
            <w:r>
              <w:rPr>
                <w:sz w:val="16"/>
              </w:rPr>
              <w:t xml:space="preserve">127.5</w:t>
            </w:r>
          </w:p>
        </w:tc>
        <w:tc>
          <w:tcPr>
            <w:tcW w:type="dxa" w:w="1119"/>
            <w:tcMar>
              <w:left w:w="30" w:type="dxa"/>
              <w:right w:w="30" w:type="dxa"/>
            </w:tcMar>
          </w:tcPr>
          <w:p>
            <w:pPr>
              <w:pStyle w:val="Compact"/>
              <w:spacing w:after="0" w:before="0"/>
              <w:jc w:val="right"/>
            </w:pPr>
            <w:r>
              <w:rPr>
                <w:sz w:val="16"/>
              </w:rPr>
              <w:t xml:space="preserve">1.68</w:t>
            </w:r>
          </w:p>
        </w:tc>
      </w:tr>
      <w:tr>
        <w:tc>
          <w:tcPr>
            <w:tcW w:type="dxa" w:w="3217"/>
            <w:tcMar>
              <w:left w:w="30" w:type="dxa"/>
              <w:right w:w="30" w:type="dxa"/>
            </w:tcMar>
          </w:tcPr>
          <w:p>
            <w:pPr>
              <w:pStyle w:val="Compact"/>
              <w:spacing w:after="0" w:before="0"/>
              <w:jc w:val="left"/>
            </w:pPr>
            <w:r>
              <w:rPr>
                <w:rStyle w:val="VerbatimChar"/>
                <w:sz w:val="16"/>
              </w:rPr>
              <w:t xml:space="preserve">automation</w:t>
            </w:r>
          </w:p>
        </w:tc>
        <w:tc>
          <w:tcPr>
            <w:tcW w:type="dxa" w:w="1958"/>
            <w:tcMar>
              <w:left w:w="30" w:type="dxa"/>
              <w:right w:w="30" w:type="dxa"/>
            </w:tcMar>
          </w:tcPr>
          <w:p>
            <w:pPr>
              <w:pStyle w:val="Compact"/>
              <w:spacing w:after="0" w:before="0"/>
              <w:jc w:val="left"/>
            </w:pPr>
            <w:r>
              <w:rPr>
                <w:sz w:val="16"/>
              </w:rPr>
              <w:t xml:space="preserve">Automation / robotics</w:t>
            </w:r>
          </w:p>
        </w:tc>
        <w:tc>
          <w:tcPr>
            <w:tcW w:type="dxa" w:w="1119"/>
            <w:tcMar>
              <w:left w:w="30" w:type="dxa"/>
              <w:right w:w="30" w:type="dxa"/>
            </w:tcMar>
          </w:tcPr>
          <w:p>
            <w:pPr>
              <w:pStyle w:val="Compact"/>
              <w:spacing w:after="0" w:before="0"/>
              <w:jc w:val="right"/>
            </w:pPr>
            <w:r>
              <w:rPr>
                <w:sz w:val="16"/>
              </w:rPr>
              <w:t xml:space="preserve">374</w:t>
            </w:r>
          </w:p>
        </w:tc>
        <w:tc>
          <w:tcPr>
            <w:tcW w:type="dxa" w:w="699"/>
            <w:tcMar>
              <w:left w:w="30" w:type="dxa"/>
              <w:right w:w="30" w:type="dxa"/>
            </w:tcMar>
          </w:tcPr>
          <w:p>
            <w:pPr>
              <w:pStyle w:val="Compact"/>
              <w:spacing w:after="0" w:before="0"/>
              <w:jc w:val="right"/>
            </w:pPr>
            <w:r>
              <w:rPr>
                <w:sz w:val="16"/>
              </w:rPr>
              <w:t xml:space="preserve">0.3</w:t>
            </w:r>
          </w:p>
        </w:tc>
        <w:tc>
          <w:tcPr>
            <w:tcW w:type="dxa" w:w="839"/>
            <w:tcMar>
              <w:left w:w="30" w:type="dxa"/>
              <w:right w:w="30" w:type="dxa"/>
            </w:tcMar>
          </w:tcPr>
          <w:p>
            <w:pPr>
              <w:pStyle w:val="Compact"/>
              <w:spacing w:after="0" w:before="0"/>
              <w:jc w:val="right"/>
            </w:pPr>
            <w:r>
              <w:rPr>
                <w:sz w:val="16"/>
              </w:rPr>
              <w:t xml:space="preserve">25</w:t>
            </w:r>
          </w:p>
        </w:tc>
        <w:tc>
          <w:tcPr>
            <w:tcW w:type="dxa" w:w="839"/>
            <w:tcMar>
              <w:left w:w="30" w:type="dxa"/>
              <w:right w:w="30" w:type="dxa"/>
            </w:tcMar>
          </w:tcPr>
          <w:p>
            <w:pPr>
              <w:pStyle w:val="Compact"/>
              <w:spacing w:after="0" w:before="0"/>
              <w:jc w:val="right"/>
            </w:pPr>
            <w:r>
              <w:rPr>
                <w:sz w:val="16"/>
              </w:rPr>
              <w:t xml:space="preserve">13.7</w:t>
            </w:r>
          </w:p>
        </w:tc>
        <w:tc>
          <w:tcPr>
            <w:tcW w:type="dxa" w:w="1119"/>
            <w:tcMar>
              <w:left w:w="30" w:type="dxa"/>
              <w:right w:w="30" w:type="dxa"/>
            </w:tcMar>
          </w:tcPr>
          <w:p>
            <w:pPr>
              <w:pStyle w:val="Compact"/>
              <w:spacing w:after="0" w:before="0"/>
              <w:jc w:val="right"/>
            </w:pPr>
            <w:r>
              <w:rPr>
                <w:sz w:val="16"/>
              </w:rPr>
              <w:t xml:space="preserve">1.68</w:t>
            </w:r>
          </w:p>
        </w:tc>
      </w:tr>
      <w:tr>
        <w:tc>
          <w:tcPr>
            <w:tcW w:type="dxa" w:w="3217"/>
            <w:tcMar>
              <w:left w:w="30" w:type="dxa"/>
              <w:right w:w="30" w:type="dxa"/>
            </w:tcMar>
          </w:tcPr>
          <w:p>
            <w:pPr>
              <w:pStyle w:val="Compact"/>
              <w:spacing w:after="0" w:before="0"/>
              <w:jc w:val="left"/>
            </w:pPr>
            <w:r>
              <w:rPr>
                <w:rStyle w:val="VerbatimChar"/>
                <w:sz w:val="16"/>
              </w:rPr>
              <w:t xml:space="preserve">cloud_migration</w:t>
            </w:r>
          </w:p>
        </w:tc>
        <w:tc>
          <w:tcPr>
            <w:tcW w:type="dxa" w:w="1958"/>
            <w:tcMar>
              <w:left w:w="30" w:type="dxa"/>
              <w:right w:w="30" w:type="dxa"/>
            </w:tcMar>
          </w:tcPr>
          <w:p>
            <w:pPr>
              <w:pStyle w:val="Compact"/>
              <w:spacing w:after="0" w:before="0"/>
              <w:jc w:val="left"/>
            </w:pPr>
            <w:r>
              <w:rPr>
                <w:sz w:val="16"/>
              </w:rPr>
              <w:t xml:space="preserve">Cloud migration</w:t>
            </w:r>
          </w:p>
        </w:tc>
        <w:tc>
          <w:tcPr>
            <w:tcW w:type="dxa" w:w="1119"/>
            <w:tcMar>
              <w:left w:w="30" w:type="dxa"/>
              <w:right w:w="30" w:type="dxa"/>
            </w:tcMar>
          </w:tcPr>
          <w:p>
            <w:pPr>
              <w:pStyle w:val="Compact"/>
              <w:spacing w:after="0" w:before="0"/>
              <w:jc w:val="right"/>
            </w:pPr>
            <w:r>
              <w:rPr>
                <w:sz w:val="16"/>
              </w:rPr>
              <w:t xml:space="preserve">264</w:t>
            </w:r>
          </w:p>
        </w:tc>
        <w:tc>
          <w:tcPr>
            <w:tcW w:type="dxa" w:w="699"/>
            <w:tcMar>
              <w:left w:w="30" w:type="dxa"/>
              <w:right w:w="30" w:type="dxa"/>
            </w:tcMar>
          </w:tcPr>
          <w:p>
            <w:pPr>
              <w:pStyle w:val="Compact"/>
              <w:spacing w:after="0" w:before="0"/>
              <w:jc w:val="right"/>
            </w:pPr>
            <w:r>
              <w:rPr>
                <w:sz w:val="16"/>
              </w:rPr>
              <w:t xml:space="preserve">0.2</w:t>
            </w:r>
          </w:p>
        </w:tc>
        <w:tc>
          <w:tcPr>
            <w:tcW w:type="dxa" w:w="839"/>
            <w:tcMar>
              <w:left w:w="30" w:type="dxa"/>
              <w:right w:w="30" w:type="dxa"/>
            </w:tcMar>
          </w:tcPr>
          <w:p>
            <w:pPr>
              <w:pStyle w:val="Compact"/>
              <w:spacing w:after="0" w:before="0"/>
              <w:jc w:val="right"/>
            </w:pPr>
            <w:r>
              <w:rPr>
                <w:sz w:val="16"/>
              </w:rPr>
              <w:t xml:space="preserve">35</w:t>
            </w:r>
          </w:p>
        </w:tc>
        <w:tc>
          <w:tcPr>
            <w:tcW w:type="dxa" w:w="839"/>
            <w:tcMar>
              <w:left w:w="30" w:type="dxa"/>
              <w:right w:w="30" w:type="dxa"/>
            </w:tcMar>
          </w:tcPr>
          <w:p>
            <w:pPr>
              <w:pStyle w:val="Compact"/>
              <w:spacing w:after="0" w:before="0"/>
              <w:jc w:val="right"/>
            </w:pPr>
            <w:r>
              <w:rPr>
                <w:sz w:val="16"/>
              </w:rPr>
              <w:t xml:space="preserve">50.0</w:t>
            </w:r>
          </w:p>
        </w:tc>
        <w:tc>
          <w:tcPr>
            <w:tcW w:type="dxa" w:w="1119"/>
            <w:tcMar>
              <w:left w:w="30" w:type="dxa"/>
              <w:right w:w="30" w:type="dxa"/>
            </w:tcMar>
          </w:tcPr>
          <w:p>
            <w:pPr>
              <w:pStyle w:val="Compact"/>
              <w:spacing w:after="0" w:before="0"/>
              <w:jc w:val="right"/>
            </w:pPr>
            <w:r>
              <w:rPr>
                <w:sz w:val="16"/>
              </w:rPr>
              <w:t xml:space="preserve">1.97</w:t>
            </w:r>
          </w:p>
        </w:tc>
      </w:tr>
      <w:tr>
        <w:tc>
          <w:tcPr>
            <w:tcW w:type="dxa" w:w="3217"/>
            <w:tcMar>
              <w:left w:w="30" w:type="dxa"/>
              <w:right w:w="30" w:type="dxa"/>
            </w:tcMar>
          </w:tcPr>
          <w:p>
            <w:pPr>
              <w:pStyle w:val="Compact"/>
              <w:spacing w:after="0" w:before="0"/>
            </w:pPr>
          </w:p>
        </w:tc>
        <w:tc>
          <w:tcPr>
            <w:tcW w:type="dxa" w:w="1958"/>
            <w:tcMar>
              <w:left w:w="30" w:type="dxa"/>
              <w:right w:w="30" w:type="dxa"/>
            </w:tcMar>
          </w:tcPr>
          <w:p>
            <w:pPr>
              <w:pStyle w:val="Compact"/>
              <w:spacing w:after="0" w:before="0"/>
              <w:jc w:val="left"/>
            </w:pPr>
            <w:r>
              <w:rPr>
                <w:sz w:val="16"/>
              </w:rPr>
              <w:t xml:space="preserve">Total</w:t>
            </w:r>
          </w:p>
        </w:tc>
        <w:tc>
          <w:tcPr>
            <w:tcW w:type="dxa" w:w="1119"/>
            <w:tcMar>
              <w:left w:w="30" w:type="dxa"/>
              <w:right w:w="30" w:type="dxa"/>
            </w:tcMar>
          </w:tcPr>
          <w:p>
            <w:pPr>
              <w:pStyle w:val="Compact"/>
              <w:spacing w:after="0" w:before="0"/>
              <w:jc w:val="right"/>
            </w:pPr>
            <w:r>
              <w:rPr>
                <w:sz w:val="16"/>
              </w:rPr>
              <w:t xml:space="preserve">121</w:t>
            </w:r>
            <w:r>
              <w:rPr>
                <w:sz w:val="16"/>
              </w:rPr>
              <w:t xml:space="preserve">,</w:t>
            </w:r>
            <w:r>
              <w:rPr>
                <w:sz w:val="16"/>
              </w:rPr>
              <w:t xml:space="preserve">099</w:t>
            </w:r>
          </w:p>
        </w:tc>
        <w:tc>
          <w:tcPr>
            <w:tcW w:type="dxa" w:w="699"/>
            <w:tcMar>
              <w:left w:w="30" w:type="dxa"/>
              <w:right w:w="30" w:type="dxa"/>
            </w:tcMar>
          </w:tcPr>
          <w:p>
            <w:pPr>
              <w:pStyle w:val="Compact"/>
              <w:spacing w:after="0" w:before="0"/>
              <w:jc w:val="right"/>
            </w:pPr>
            <w:r>
              <w:rPr>
                <w:sz w:val="16"/>
              </w:rPr>
              <w:t xml:space="preserve">100.0</w:t>
            </w:r>
          </w:p>
        </w:tc>
        <w:tc>
          <w:tcPr>
            <w:tcW w:type="dxa" w:w="839"/>
            <w:tcMar>
              <w:left w:w="30" w:type="dxa"/>
              <w:right w:w="30" w:type="dxa"/>
            </w:tcMar>
          </w:tcPr>
          <w:p>
            <w:pPr>
              <w:pStyle w:val="Compact"/>
              <w:spacing w:after="0" w:before="0"/>
              <w:jc w:val="right"/>
            </w:pPr>
            <w:r>
              <w:rPr>
                <w:sz w:val="16"/>
              </w:rPr>
              <w:t xml:space="preserve">56</w:t>
            </w:r>
            <w:r>
              <w:rPr>
                <w:sz w:val="16"/>
              </w:rPr>
              <w:t xml:space="preserve">,</w:t>
            </w:r>
            <w:r>
              <w:rPr>
                <w:sz w:val="16"/>
              </w:rPr>
              <w:t xml:space="preserve">500</w:t>
            </w:r>
          </w:p>
        </w:tc>
        <w:tc>
          <w:tcPr>
            <w:tcW w:type="dxa" w:w="839"/>
            <w:tcMar>
              <w:left w:w="30" w:type="dxa"/>
              <w:right w:w="30" w:type="dxa"/>
            </w:tcMar>
          </w:tcPr>
          <w:p>
            <w:pPr>
              <w:pStyle w:val="Compact"/>
              <w:spacing w:after="0" w:before="0"/>
              <w:jc w:val="right"/>
            </w:pPr>
            <w:r>
              <w:rPr>
                <w:sz w:val="16"/>
              </w:rPr>
              <w:t xml:space="preserve">128.5</w:t>
            </w:r>
          </w:p>
        </w:tc>
        <w:tc>
          <w:tcPr>
            <w:tcW w:type="dxa" w:w="1119"/>
            <w:tcMar>
              <w:left w:w="30" w:type="dxa"/>
              <w:right w:w="30" w:type="dxa"/>
            </w:tcMar>
          </w:tcPr>
          <w:p>
            <w:pPr>
              <w:pStyle w:val="Compact"/>
              <w:spacing w:after="0" w:before="0"/>
              <w:jc w:val="right"/>
            </w:pPr>
            <w:r>
              <w:rPr>
                <w:sz w:val="16"/>
              </w:rPr>
              <w:t xml:space="preserve">2.54</w:t>
            </w:r>
          </w:p>
        </w:tc>
      </w:tr>
    </w:tbl>
    <w:p>
      <w:pPr>
        <w:pStyle w:val="BodyText"/>
      </w:pPr>
      <w:r>
        <w:rPr>
          <w:i/>
          <w:iCs/>
        </w:rPr>
        <w:t xml:space="preserve">Notes:</w:t>
      </w:r>
      <w:r>
        <w:t xml:space="preserve"> </w:t>
      </w:r>
      <w:r>
        <w:t xml:space="preserve">“With amount”</w:t>
      </w:r>
      <w:r>
        <w:t xml:space="preserve"> </w:t>
      </w:r>
      <w:r>
        <w:t xml:space="preserve">counts projects for which at least one mention carries a USD figure;</w:t>
      </w:r>
      <w:r>
        <w:t xml:space="preserve"> </w:t>
      </w:r>
      <w:r>
        <w:t xml:space="preserve">“median amount”</w:t>
      </w:r>
      <w:r>
        <w:t xml:space="preserve"> </w:t>
      </w:r>
      <w:r>
        <w:t xml:space="preserve">is the median across those projects of the largest amount cited (see Section 6.3 on why amounts are never summed).</w:t>
      </w:r>
    </w:p>
    <w:p>
      <w:pPr>
        <w:pStyle w:val="CaptionedFigure"/>
      </w:pPr>
      <w:r>
        <w:drawing>
          <wp:inline>
            <wp:extent cx="5067300" cy="3659716"/>
            <wp:effectExtent b="0" l="0" r="0" t="0"/>
            <wp:docPr descr="" title="" id="51" name="Picture"/>
            <a:graphic>
              <a:graphicData uri="http://schemas.openxmlformats.org/drawingml/2006/picture">
                <pic:pic>
                  <pic:nvPicPr>
                    <pic:cNvPr descr="figures/fig_types.png" id="52" name="Picture"/>
                    <pic:cNvPicPr>
                      <a:picLocks noChangeArrowheads="1" noChangeAspect="1"/>
                    </pic:cNvPicPr>
                  </pic:nvPicPr>
                  <pic:blipFill>
                    <a:blip r:embed="rId50"/>
                    <a:stretch>
                      <a:fillRect/>
                    </a:stretch>
                  </pic:blipFill>
                  <pic:spPr bwMode="auto">
                    <a:xfrm>
                      <a:off x="0" y="0"/>
                      <a:ext cx="5067300" cy="3659716"/>
                    </a:xfrm>
                    <a:prstGeom prst="rect">
                      <a:avLst/>
                    </a:prstGeom>
                    <a:noFill/>
                    <a:ln w="9525">
                      <a:noFill/>
                      <a:headEnd/>
                      <a:tailEnd/>
                    </a:ln>
                  </pic:spPr>
                </pic:pic>
              </a:graphicData>
            </a:graphic>
          </wp:inline>
        </w:drawing>
      </w:r>
    </w:p>
    <w:p>
      <w:pPr>
        <w:pStyle w:val="ImageCaption"/>
      </w:pPr>
      <w:r>
        <w:t xml:space="preserve">Figure 3: Resolved projects by taxonomy category (121</w:t>
      </w:r>
      <w:r>
        <w:t xml:space="preserve">,</w:t>
      </w:r>
      <w:r>
        <w:t xml:space="preserve">099 projects).</w:t>
      </w:r>
    </w:p>
    <w:p>
      <w:pPr>
        <w:pStyle w:val="BodyText"/>
      </w:pPr>
      <w:r>
        <w:t xml:space="preserve">By sector (Table 6), health care (23</w:t>
      </w:r>
      <w:r>
        <w:t xml:space="preserve">,</w:t>
      </w:r>
      <w:r>
        <w:t xml:space="preserve">679 projects, 429 issuers) and industrials (17</w:t>
      </w:r>
      <w:r>
        <w:t xml:space="preserve">,</w:t>
      </w:r>
      <w:r>
        <w:t xml:space="preserve">890) contribute the most projects; utilities, materials, energy and real estate have the most projects per issuer (63–75), and financials the fewest (32), consistent with the intuition that asset-heavy, regulated or resource-extracting firms narrate discrete physical programs while banks describe fewer discrete initiatives. The list of the most</w:t>
      </w:r>
      <w:r>
        <w:t xml:space="preserve"> </w:t>
      </w:r>
      <w:r>
        <w:t xml:space="preserve">“productive”</w:t>
      </w:r>
      <w:r>
        <w:t xml:space="preserve"> </w:t>
      </w:r>
      <w:r>
        <w:t xml:space="preserve">issuers (Table 15 in the appendix)—uranium and gold miners, airlines, a bitcoin miner, an oilfield-services company—illustrates a second mechanism: issuers whose business</w:t>
      </w:r>
      <w:r>
        <w:t xml:space="preserve"> </w:t>
      </w:r>
      <w:r>
        <w:rPr>
          <w:i/>
          <w:iCs/>
        </w:rPr>
        <w:t xml:space="preserve">consists</w:t>
      </w:r>
      <w:r>
        <w:t xml:space="preserve"> </w:t>
      </w:r>
      <w:r>
        <w:t xml:space="preserve">of projects (mines, routes, wells, data-center sites) and whose filings enumerate them one by one.</w:t>
      </w:r>
    </w:p>
    <w:p>
      <w:pPr>
        <w:pStyle w:val="TableCaption"/>
      </w:pPr>
      <w:r>
        <w:t xml:space="preserve">Table 6: Issuers and projects by sector</w:t>
      </w:r>
    </w:p>
    <w:tbl>
      <w:tblPr>
        <w:tblStyle w:val="Table"/>
        <w:tblW w:type="auto" w:w="0"/>
        <w:tblLook w:firstRow="1" w:lastRow="0" w:firstColumn="0" w:lastColumn="0" w:noHBand="0" w:noVBand="0" w:val="0020"/>
        <w:tblCaption w:val="Table 6: Issuers and projects by sector"/>
      </w:tblPr>
      <w:tblGrid>
        <w:gridCol w:w="1320"/>
        <w:gridCol w:w="1320"/>
        <w:gridCol w:w="1320"/>
        <w:gridCol w:w="1320"/>
        <w:gridCol w:w="1320"/>
        <w:gridCol w:w="1320"/>
      </w:tblGrid>
      <w:tr>
        <w:trPr>
          <w:tblHeader w:val="on"/>
        </w:trPr>
        <w:tc>
          <w:tcPr/>
          <w:p>
            <w:pPr>
              <w:pStyle w:val="Compact"/>
              <w:jc w:val="left"/>
            </w:pPr>
            <w:r>
              <w:t xml:space="preserve">GICS sector (iShares)</w:t>
            </w:r>
          </w:p>
        </w:tc>
        <w:tc>
          <w:tcPr/>
          <w:p>
            <w:pPr>
              <w:pStyle w:val="Compact"/>
              <w:jc w:val="right"/>
            </w:pPr>
            <w:r>
              <w:t xml:space="preserve">Issuers in universe</w:t>
            </w:r>
          </w:p>
        </w:tc>
        <w:tc>
          <w:tcPr/>
          <w:p>
            <w:pPr>
              <w:pStyle w:val="Compact"/>
              <w:jc w:val="right"/>
            </w:pPr>
            <w:r>
              <w:t xml:space="preserve">of which S&amp;P 500</w:t>
            </w:r>
          </w:p>
        </w:tc>
        <w:tc>
          <w:tcPr/>
          <w:p>
            <w:pPr>
              <w:pStyle w:val="Compact"/>
              <w:jc w:val="right"/>
            </w:pPr>
            <w:r>
              <w:t xml:space="preserve">Issuers with projects</w:t>
            </w:r>
          </w:p>
        </w:tc>
        <w:tc>
          <w:tcPr/>
          <w:p>
            <w:pPr>
              <w:pStyle w:val="Compact"/>
              <w:jc w:val="right"/>
            </w:pPr>
            <w:r>
              <w:t xml:space="preserve">Projects</w:t>
            </w:r>
          </w:p>
        </w:tc>
        <w:tc>
          <w:tcPr/>
          <w:p>
            <w:pPr>
              <w:pStyle w:val="Compact"/>
              <w:jc w:val="right"/>
            </w:pPr>
            <w:r>
              <w:t xml:space="preserve">Projects per issuer</w:t>
            </w:r>
          </w:p>
        </w:tc>
      </w:tr>
      <w:tr>
        <w:tc>
          <w:tcPr/>
          <w:p>
            <w:pPr>
              <w:pStyle w:val="Compact"/>
              <w:jc w:val="left"/>
            </w:pPr>
            <w:r>
              <w:t xml:space="preserve">Health Care</w:t>
            </w:r>
          </w:p>
        </w:tc>
        <w:tc>
          <w:tcPr/>
          <w:p>
            <w:pPr>
              <w:pStyle w:val="Compact"/>
              <w:jc w:val="right"/>
            </w:pPr>
            <w:r>
              <w:t xml:space="preserve">433</w:t>
            </w:r>
          </w:p>
        </w:tc>
        <w:tc>
          <w:tcPr/>
          <w:p>
            <w:pPr>
              <w:pStyle w:val="Compact"/>
              <w:jc w:val="right"/>
            </w:pPr>
            <w:r>
              <w:t xml:space="preserve">59</w:t>
            </w:r>
          </w:p>
        </w:tc>
        <w:tc>
          <w:tcPr/>
          <w:p>
            <w:pPr>
              <w:pStyle w:val="Compact"/>
              <w:jc w:val="right"/>
            </w:pPr>
            <w:r>
              <w:t xml:space="preserve">429</w:t>
            </w:r>
          </w:p>
        </w:tc>
        <w:tc>
          <w:tcPr/>
          <w:p>
            <w:pPr>
              <w:pStyle w:val="Compact"/>
              <w:jc w:val="right"/>
            </w:pPr>
            <w:r>
              <w:t xml:space="preserve">23</w:t>
            </w:r>
            <w:r>
              <w:t xml:space="preserve">,</w:t>
            </w:r>
            <w:r>
              <w:t xml:space="preserve">679</w:t>
            </w:r>
          </w:p>
        </w:tc>
        <w:tc>
          <w:tcPr/>
          <w:p>
            <w:pPr>
              <w:pStyle w:val="Compact"/>
              <w:jc w:val="right"/>
            </w:pPr>
            <w:r>
              <w:t xml:space="preserve">55.2</w:t>
            </w:r>
          </w:p>
        </w:tc>
      </w:tr>
      <w:tr>
        <w:tc>
          <w:tcPr/>
          <w:p>
            <w:pPr>
              <w:pStyle w:val="Compact"/>
              <w:jc w:val="left"/>
            </w:pPr>
            <w:r>
              <w:t xml:space="preserve">Industrials</w:t>
            </w:r>
          </w:p>
        </w:tc>
        <w:tc>
          <w:tcPr/>
          <w:p>
            <w:pPr>
              <w:pStyle w:val="Compact"/>
              <w:jc w:val="right"/>
            </w:pPr>
            <w:r>
              <w:t xml:space="preserve">393</w:t>
            </w:r>
          </w:p>
        </w:tc>
        <w:tc>
          <w:tcPr/>
          <w:p>
            <w:pPr>
              <w:pStyle w:val="Compact"/>
              <w:jc w:val="right"/>
            </w:pPr>
            <w:r>
              <w:t xml:space="preserve">79</w:t>
            </w:r>
          </w:p>
        </w:tc>
        <w:tc>
          <w:tcPr/>
          <w:p>
            <w:pPr>
              <w:pStyle w:val="Compact"/>
              <w:jc w:val="right"/>
            </w:pPr>
            <w:r>
              <w:t xml:space="preserve">386</w:t>
            </w:r>
          </w:p>
        </w:tc>
        <w:tc>
          <w:tcPr/>
          <w:p>
            <w:pPr>
              <w:pStyle w:val="Compact"/>
              <w:jc w:val="right"/>
            </w:pPr>
            <w:r>
              <w:t xml:space="preserve">17</w:t>
            </w:r>
            <w:r>
              <w:t xml:space="preserve">,</w:t>
            </w:r>
            <w:r>
              <w:t xml:space="preserve">890</w:t>
            </w:r>
          </w:p>
        </w:tc>
        <w:tc>
          <w:tcPr/>
          <w:p>
            <w:pPr>
              <w:pStyle w:val="Compact"/>
              <w:jc w:val="right"/>
            </w:pPr>
            <w:r>
              <w:t xml:space="preserve">46.3</w:t>
            </w:r>
          </w:p>
        </w:tc>
      </w:tr>
      <w:tr>
        <w:tc>
          <w:tcPr/>
          <w:p>
            <w:pPr>
              <w:pStyle w:val="Compact"/>
              <w:jc w:val="left"/>
            </w:pPr>
            <w:r>
              <w:t xml:space="preserve">Consumer Discretionary</w:t>
            </w:r>
          </w:p>
        </w:tc>
        <w:tc>
          <w:tcPr/>
          <w:p>
            <w:pPr>
              <w:pStyle w:val="Compact"/>
              <w:jc w:val="right"/>
            </w:pPr>
            <w:r>
              <w:t xml:space="preserve">276</w:t>
            </w:r>
          </w:p>
        </w:tc>
        <w:tc>
          <w:tcPr/>
          <w:p>
            <w:pPr>
              <w:pStyle w:val="Compact"/>
              <w:jc w:val="right"/>
            </w:pPr>
            <w:r>
              <w:t xml:space="preserve">48</w:t>
            </w:r>
          </w:p>
        </w:tc>
        <w:tc>
          <w:tcPr/>
          <w:p>
            <w:pPr>
              <w:pStyle w:val="Compact"/>
              <w:jc w:val="right"/>
            </w:pPr>
            <w:r>
              <w:t xml:space="preserve">267</w:t>
            </w:r>
          </w:p>
        </w:tc>
        <w:tc>
          <w:tcPr/>
          <w:p>
            <w:pPr>
              <w:pStyle w:val="Compact"/>
              <w:jc w:val="right"/>
            </w:pPr>
            <w:r>
              <w:t xml:space="preserve">15</w:t>
            </w:r>
            <w:r>
              <w:t xml:space="preserve">,</w:t>
            </w:r>
            <w:r>
              <w:t xml:space="preserve">072</w:t>
            </w:r>
          </w:p>
        </w:tc>
        <w:tc>
          <w:tcPr/>
          <w:p>
            <w:pPr>
              <w:pStyle w:val="Compact"/>
              <w:jc w:val="right"/>
            </w:pPr>
            <w:r>
              <w:t xml:space="preserve">56.4</w:t>
            </w:r>
          </w:p>
        </w:tc>
      </w:tr>
      <w:tr>
        <w:tc>
          <w:tcPr/>
          <w:p>
            <w:pPr>
              <w:pStyle w:val="Compact"/>
              <w:jc w:val="left"/>
            </w:pPr>
            <w:r>
              <w:t xml:space="preserve">Financials</w:t>
            </w:r>
          </w:p>
        </w:tc>
        <w:tc>
          <w:tcPr/>
          <w:p>
            <w:pPr>
              <w:pStyle w:val="Compact"/>
              <w:jc w:val="right"/>
            </w:pPr>
            <w:r>
              <w:t xml:space="preserve">462</w:t>
            </w:r>
          </w:p>
        </w:tc>
        <w:tc>
          <w:tcPr/>
          <w:p>
            <w:pPr>
              <w:pStyle w:val="Compact"/>
              <w:jc w:val="right"/>
            </w:pPr>
            <w:r>
              <w:t xml:space="preserve">76</w:t>
            </w:r>
          </w:p>
        </w:tc>
        <w:tc>
          <w:tcPr/>
          <w:p>
            <w:pPr>
              <w:pStyle w:val="Compact"/>
              <w:jc w:val="right"/>
            </w:pPr>
            <w:r>
              <w:t xml:space="preserve">446</w:t>
            </w:r>
          </w:p>
        </w:tc>
        <w:tc>
          <w:tcPr/>
          <w:p>
            <w:pPr>
              <w:pStyle w:val="Compact"/>
              <w:jc w:val="right"/>
            </w:pPr>
            <w:r>
              <w:t xml:space="preserve">14</w:t>
            </w:r>
            <w:r>
              <w:t xml:space="preserve">,</w:t>
            </w:r>
            <w:r>
              <w:t xml:space="preserve">223</w:t>
            </w:r>
          </w:p>
        </w:tc>
        <w:tc>
          <w:tcPr/>
          <w:p>
            <w:pPr>
              <w:pStyle w:val="Compact"/>
              <w:jc w:val="right"/>
            </w:pPr>
            <w:r>
              <w:t xml:space="preserve">31.9</w:t>
            </w:r>
          </w:p>
        </w:tc>
      </w:tr>
      <w:tr>
        <w:tc>
          <w:tcPr/>
          <w:p>
            <w:pPr>
              <w:pStyle w:val="Compact"/>
              <w:jc w:val="left"/>
            </w:pPr>
            <w:r>
              <w:t xml:space="preserve">Information Technology</w:t>
            </w:r>
          </w:p>
        </w:tc>
        <w:tc>
          <w:tcPr/>
          <w:p>
            <w:pPr>
              <w:pStyle w:val="Compact"/>
              <w:jc w:val="right"/>
            </w:pPr>
            <w:r>
              <w:t xml:space="preserve">333</w:t>
            </w:r>
          </w:p>
        </w:tc>
        <w:tc>
          <w:tcPr/>
          <w:p>
            <w:pPr>
              <w:pStyle w:val="Compact"/>
              <w:jc w:val="right"/>
            </w:pPr>
            <w:r>
              <w:t xml:space="preserve">73</w:t>
            </w:r>
          </w:p>
        </w:tc>
        <w:tc>
          <w:tcPr/>
          <w:p>
            <w:pPr>
              <w:pStyle w:val="Compact"/>
              <w:jc w:val="right"/>
            </w:pPr>
            <w:r>
              <w:t xml:space="preserve">325</w:t>
            </w:r>
          </w:p>
        </w:tc>
        <w:tc>
          <w:tcPr/>
          <w:p>
            <w:pPr>
              <w:pStyle w:val="Compact"/>
              <w:jc w:val="right"/>
            </w:pPr>
            <w:r>
              <w:t xml:space="preserve">11</w:t>
            </w:r>
            <w:r>
              <w:t xml:space="preserve">,</w:t>
            </w:r>
            <w:r>
              <w:t xml:space="preserve">756</w:t>
            </w:r>
          </w:p>
        </w:tc>
        <w:tc>
          <w:tcPr/>
          <w:p>
            <w:pPr>
              <w:pStyle w:val="Compact"/>
              <w:jc w:val="right"/>
            </w:pPr>
            <w:r>
              <w:t xml:space="preserve">36.2</w:t>
            </w:r>
          </w:p>
        </w:tc>
      </w:tr>
      <w:tr>
        <w:tc>
          <w:tcPr/>
          <w:p>
            <w:pPr>
              <w:pStyle w:val="Compact"/>
              <w:jc w:val="left"/>
            </w:pPr>
            <w:r>
              <w:t xml:space="preserve">Real Estate</w:t>
            </w:r>
          </w:p>
        </w:tc>
        <w:tc>
          <w:tcPr/>
          <w:p>
            <w:pPr>
              <w:pStyle w:val="Compact"/>
              <w:jc w:val="right"/>
            </w:pPr>
            <w:r>
              <w:t xml:space="preserve">146</w:t>
            </w:r>
          </w:p>
        </w:tc>
        <w:tc>
          <w:tcPr/>
          <w:p>
            <w:pPr>
              <w:pStyle w:val="Compact"/>
              <w:jc w:val="right"/>
            </w:pPr>
            <w:r>
              <w:t xml:space="preserve">31</w:t>
            </w:r>
          </w:p>
        </w:tc>
        <w:tc>
          <w:tcPr/>
          <w:p>
            <w:pPr>
              <w:pStyle w:val="Compact"/>
              <w:jc w:val="right"/>
            </w:pPr>
            <w:r>
              <w:t xml:space="preserve">145</w:t>
            </w:r>
          </w:p>
        </w:tc>
        <w:tc>
          <w:tcPr/>
          <w:p>
            <w:pPr>
              <w:pStyle w:val="Compact"/>
              <w:jc w:val="right"/>
            </w:pPr>
            <w:r>
              <w:t xml:space="preserve">9</w:t>
            </w:r>
            <w:r>
              <w:t xml:space="preserve">,</w:t>
            </w:r>
            <w:r>
              <w:t xml:space="preserve">001</w:t>
            </w:r>
          </w:p>
        </w:tc>
        <w:tc>
          <w:tcPr/>
          <w:p>
            <w:pPr>
              <w:pStyle w:val="Compact"/>
              <w:jc w:val="right"/>
            </w:pPr>
            <w:r>
              <w:t xml:space="preserve">62.1</w:t>
            </w:r>
          </w:p>
        </w:tc>
      </w:tr>
      <w:tr>
        <w:tc>
          <w:tcPr/>
          <w:p>
            <w:pPr>
              <w:pStyle w:val="Compact"/>
              <w:jc w:val="left"/>
            </w:pPr>
            <w:r>
              <w:t xml:space="preserve">Materials</w:t>
            </w:r>
          </w:p>
        </w:tc>
        <w:tc>
          <w:tcPr/>
          <w:p>
            <w:pPr>
              <w:pStyle w:val="Compact"/>
              <w:jc w:val="right"/>
            </w:pPr>
            <w:r>
              <w:t xml:space="preserve">126</w:t>
            </w:r>
          </w:p>
        </w:tc>
        <w:tc>
          <w:tcPr/>
          <w:p>
            <w:pPr>
              <w:pStyle w:val="Compact"/>
              <w:jc w:val="right"/>
            </w:pPr>
            <w:r>
              <w:t xml:space="preserve">26</w:t>
            </w:r>
          </w:p>
        </w:tc>
        <w:tc>
          <w:tcPr/>
          <w:p>
            <w:pPr>
              <w:pStyle w:val="Compact"/>
              <w:jc w:val="right"/>
            </w:pPr>
            <w:r>
              <w:t xml:space="preserve">117</w:t>
            </w:r>
          </w:p>
        </w:tc>
        <w:tc>
          <w:tcPr/>
          <w:p>
            <w:pPr>
              <w:pStyle w:val="Compact"/>
              <w:jc w:val="right"/>
            </w:pPr>
            <w:r>
              <w:t xml:space="preserve">7</w:t>
            </w:r>
            <w:r>
              <w:t xml:space="preserve">,</w:t>
            </w:r>
            <w:r>
              <w:t xml:space="preserve">407</w:t>
            </w:r>
          </w:p>
        </w:tc>
        <w:tc>
          <w:tcPr/>
          <w:p>
            <w:pPr>
              <w:pStyle w:val="Compact"/>
              <w:jc w:val="right"/>
            </w:pPr>
            <w:r>
              <w:t xml:space="preserve">63.3</w:t>
            </w:r>
          </w:p>
        </w:tc>
      </w:tr>
      <w:tr>
        <w:tc>
          <w:tcPr/>
          <w:p>
            <w:pPr>
              <w:pStyle w:val="Compact"/>
              <w:jc w:val="left"/>
            </w:pPr>
            <w:r>
              <w:t xml:space="preserve">Energy</w:t>
            </w:r>
          </w:p>
        </w:tc>
        <w:tc>
          <w:tcPr/>
          <w:p>
            <w:pPr>
              <w:pStyle w:val="Compact"/>
              <w:jc w:val="right"/>
            </w:pPr>
            <w:r>
              <w:t xml:space="preserve">119</w:t>
            </w:r>
          </w:p>
        </w:tc>
        <w:tc>
          <w:tcPr/>
          <w:p>
            <w:pPr>
              <w:pStyle w:val="Compact"/>
              <w:jc w:val="right"/>
            </w:pPr>
            <w:r>
              <w:t xml:space="preserve">21</w:t>
            </w:r>
          </w:p>
        </w:tc>
        <w:tc>
          <w:tcPr/>
          <w:p>
            <w:pPr>
              <w:pStyle w:val="Compact"/>
              <w:jc w:val="right"/>
            </w:pPr>
            <w:r>
              <w:t xml:space="preserve">107</w:t>
            </w:r>
          </w:p>
        </w:tc>
        <w:tc>
          <w:tcPr/>
          <w:p>
            <w:pPr>
              <w:pStyle w:val="Compact"/>
              <w:jc w:val="right"/>
            </w:pPr>
            <w:r>
              <w:t xml:space="preserve">6</w:t>
            </w:r>
            <w:r>
              <w:t xml:space="preserve">,</w:t>
            </w:r>
            <w:r>
              <w:t xml:space="preserve">710</w:t>
            </w:r>
          </w:p>
        </w:tc>
        <w:tc>
          <w:tcPr/>
          <w:p>
            <w:pPr>
              <w:pStyle w:val="Compact"/>
              <w:jc w:val="right"/>
            </w:pPr>
            <w:r>
              <w:t xml:space="preserve">62.7</w:t>
            </w:r>
          </w:p>
        </w:tc>
      </w:tr>
      <w:tr>
        <w:tc>
          <w:tcPr/>
          <w:p>
            <w:pPr>
              <w:pStyle w:val="Compact"/>
              <w:jc w:val="left"/>
            </w:pPr>
            <w:r>
              <w:t xml:space="preserve">Consumer Staples</w:t>
            </w:r>
          </w:p>
        </w:tc>
        <w:tc>
          <w:tcPr/>
          <w:p>
            <w:pPr>
              <w:pStyle w:val="Compact"/>
              <w:jc w:val="right"/>
            </w:pPr>
            <w:r>
              <w:t xml:space="preserve">103</w:t>
            </w:r>
          </w:p>
        </w:tc>
        <w:tc>
          <w:tcPr/>
          <w:p>
            <w:pPr>
              <w:pStyle w:val="Compact"/>
              <w:jc w:val="right"/>
            </w:pPr>
            <w:r>
              <w:t xml:space="preserve">36</w:t>
            </w:r>
          </w:p>
        </w:tc>
        <w:tc>
          <w:tcPr/>
          <w:p>
            <w:pPr>
              <w:pStyle w:val="Compact"/>
              <w:jc w:val="right"/>
            </w:pPr>
            <w:r>
              <w:t xml:space="preserve">103</w:t>
            </w:r>
          </w:p>
        </w:tc>
        <w:tc>
          <w:tcPr/>
          <w:p>
            <w:pPr>
              <w:pStyle w:val="Compact"/>
              <w:jc w:val="right"/>
            </w:pPr>
            <w:r>
              <w:t xml:space="preserve">5</w:t>
            </w:r>
            <w:r>
              <w:t xml:space="preserve">,</w:t>
            </w:r>
            <w:r>
              <w:t xml:space="preserve">921</w:t>
            </w:r>
          </w:p>
        </w:tc>
        <w:tc>
          <w:tcPr/>
          <w:p>
            <w:pPr>
              <w:pStyle w:val="Compact"/>
              <w:jc w:val="right"/>
            </w:pPr>
            <w:r>
              <w:t xml:space="preserve">57.5</w:t>
            </w:r>
          </w:p>
        </w:tc>
      </w:tr>
      <w:tr>
        <w:tc>
          <w:tcPr/>
          <w:p>
            <w:pPr>
              <w:pStyle w:val="Compact"/>
              <w:jc w:val="left"/>
            </w:pPr>
            <w:r>
              <w:t xml:space="preserve">Utilities</w:t>
            </w:r>
          </w:p>
        </w:tc>
        <w:tc>
          <w:tcPr/>
          <w:p>
            <w:pPr>
              <w:pStyle w:val="Compact"/>
              <w:jc w:val="right"/>
            </w:pPr>
            <w:r>
              <w:t xml:space="preserve">68</w:t>
            </w:r>
          </w:p>
        </w:tc>
        <w:tc>
          <w:tcPr/>
          <w:p>
            <w:pPr>
              <w:pStyle w:val="Compact"/>
              <w:jc w:val="right"/>
            </w:pPr>
            <w:r>
              <w:t xml:space="preserve">31</w:t>
            </w:r>
          </w:p>
        </w:tc>
        <w:tc>
          <w:tcPr/>
          <w:p>
            <w:pPr>
              <w:pStyle w:val="Compact"/>
              <w:jc w:val="right"/>
            </w:pPr>
            <w:r>
              <w:t xml:space="preserve">66</w:t>
            </w:r>
          </w:p>
        </w:tc>
        <w:tc>
          <w:tcPr/>
          <w:p>
            <w:pPr>
              <w:pStyle w:val="Compact"/>
              <w:jc w:val="right"/>
            </w:pPr>
            <w:r>
              <w:t xml:space="preserve">4</w:t>
            </w:r>
            <w:r>
              <w:t xml:space="preserve">,</w:t>
            </w:r>
            <w:r>
              <w:t xml:space="preserve">920</w:t>
            </w:r>
          </w:p>
        </w:tc>
        <w:tc>
          <w:tcPr/>
          <w:p>
            <w:pPr>
              <w:pStyle w:val="Compact"/>
              <w:jc w:val="right"/>
            </w:pPr>
            <w:r>
              <w:t xml:space="preserve">74.5</w:t>
            </w:r>
          </w:p>
        </w:tc>
      </w:tr>
      <w:tr>
        <w:tc>
          <w:tcPr/>
          <w:p>
            <w:pPr>
              <w:pStyle w:val="Compact"/>
              <w:jc w:val="left"/>
            </w:pPr>
            <w:r>
              <w:t xml:space="preserve">Communication Services</w:t>
            </w:r>
          </w:p>
        </w:tc>
        <w:tc>
          <w:tcPr/>
          <w:p>
            <w:pPr>
              <w:pStyle w:val="Compact"/>
              <w:jc w:val="right"/>
            </w:pPr>
            <w:r>
              <w:t xml:space="preserve">105</w:t>
            </w:r>
          </w:p>
        </w:tc>
        <w:tc>
          <w:tcPr/>
          <w:p>
            <w:pPr>
              <w:pStyle w:val="Compact"/>
              <w:jc w:val="right"/>
            </w:pPr>
            <w:r>
              <w:t xml:space="preserve">20</w:t>
            </w:r>
          </w:p>
        </w:tc>
        <w:tc>
          <w:tcPr/>
          <w:p>
            <w:pPr>
              <w:pStyle w:val="Compact"/>
              <w:jc w:val="right"/>
            </w:pPr>
            <w:r>
              <w:t xml:space="preserve">101</w:t>
            </w:r>
          </w:p>
        </w:tc>
        <w:tc>
          <w:tcPr/>
          <w:p>
            <w:pPr>
              <w:pStyle w:val="Compact"/>
              <w:jc w:val="right"/>
            </w:pPr>
            <w:r>
              <w:t xml:space="preserve">4</w:t>
            </w:r>
            <w:r>
              <w:t xml:space="preserve">,</w:t>
            </w:r>
            <w:r>
              <w:t xml:space="preserve">520</w:t>
            </w:r>
          </w:p>
        </w:tc>
        <w:tc>
          <w:tcPr/>
          <w:p>
            <w:pPr>
              <w:pStyle w:val="Compact"/>
              <w:jc w:val="right"/>
            </w:pPr>
            <w:r>
              <w:t xml:space="preserve">44.8</w:t>
            </w:r>
          </w:p>
        </w:tc>
      </w:tr>
    </w:tbl>
    <w:p>
      <w:pPr>
        <w:pStyle w:val="BodyText"/>
      </w:pPr>
      <w:r>
        <w:rPr>
          <w:i/>
          <w:iCs/>
        </w:rPr>
        <w:t xml:space="preserve">Notes:</w:t>
      </w:r>
      <w:r>
        <w:t xml:space="preserve"> </w:t>
      </w:r>
      <w:r>
        <w:t xml:space="preserve">Sector labels come from the iShares holdings file (Russell proxy) or, for S&amp;P 500-only issuers, from the Wikipedia GICS table.</w:t>
      </w:r>
      <w:r>
        <w:t xml:space="preserve"> </w:t>
      </w:r>
      <w:r>
        <w:t xml:space="preserve">“Issuers in universe”</w:t>
      </w:r>
      <w:r>
        <w:t xml:space="preserve"> </w:t>
      </w:r>
      <w:r>
        <w:t xml:space="preserve">includes issuers without filings.</w:t>
      </w:r>
    </w:p>
    <w:p>
      <w:pPr>
        <w:pStyle w:val="BodyText"/>
      </w:pPr>
      <w:r>
        <w:t xml:space="preserve">The latest status recorded for a project is</w:t>
      </w:r>
      <w:r>
        <w:t xml:space="preserve"> </w:t>
      </w:r>
      <w:r>
        <w:rPr>
          <w:rStyle w:val="VerbatimChar"/>
        </w:rPr>
        <w:t xml:space="preserve">in_progress</w:t>
      </w:r>
      <w:r>
        <w:t xml:space="preserve"> </w:t>
      </w:r>
      <w:r>
        <w:t xml:space="preserve">for 41.6%,</w:t>
      </w:r>
      <w:r>
        <w:t xml:space="preserve"> </w:t>
      </w:r>
      <w:r>
        <w:rPr>
          <w:rStyle w:val="VerbatimChar"/>
        </w:rPr>
        <w:t xml:space="preserve">completed</w:t>
      </w:r>
      <w:r>
        <w:t xml:space="preserve"> </w:t>
      </w:r>
      <w:r>
        <w:t xml:space="preserve">for 41.0%,</w:t>
      </w:r>
      <w:r>
        <w:t xml:space="preserve"> </w:t>
      </w:r>
      <w:r>
        <w:rPr>
          <w:rStyle w:val="VerbatimChar"/>
        </w:rPr>
        <w:t xml:space="preserve">planned</w:t>
      </w:r>
      <w:r>
        <w:t xml:space="preserve"> </w:t>
      </w:r>
      <w:r>
        <w:t xml:space="preserve">for 15.1% and</w:t>
      </w:r>
      <w:r>
        <w:t xml:space="preserve"> </w:t>
      </w:r>
      <w:r>
        <w:rPr>
          <w:rStyle w:val="VerbatimChar"/>
        </w:rPr>
        <w:t xml:space="preserve">mentioned</w:t>
      </w:r>
      <w:r>
        <w:t xml:space="preserve"> </w:t>
      </w:r>
      <w:r>
        <w:t xml:space="preserve">for 2.3% (Table 7). Because status is taken from the most recent mention, it is a snapshot of the last thing the issuer said, not the terminal fate of the project: a project that was announced, mentioned once as in progress and then silently abandoned is recorded as in progress. The span between the earliest and latest year cited</w:t>
      </w:r>
      <w:r>
        <w:t xml:space="preserve"> </w:t>
      </w:r>
      <w:r>
        <w:rPr>
          <w:i/>
          <w:iCs/>
        </w:rPr>
        <w:t xml:space="preserve">in the text</w:t>
      </w:r>
      <w:r>
        <w:t xml:space="preserve"> </w:t>
      </w:r>
      <w:r>
        <w:t xml:space="preserve">is zero for 55.5% of projects with known years and exceeds five years for 8.5%; the brief’s distinction between announcement, filing, expected start, observed start, expected and realized completion, and cancellation is not yet implemented as separate dated events (Section 6).</w:t>
      </w:r>
    </w:p>
    <w:p>
      <w:pPr>
        <w:pStyle w:val="TableCaption"/>
      </w:pPr>
      <w:r>
        <w:t xml:space="preserve">Table 7: Status, number of mentions and cited time span of resolved projects</w:t>
      </w:r>
    </w:p>
    <w:tbl>
      <w:tblPr>
        <w:tblStyle w:val="Table"/>
        <w:tblW w:type="auto" w:w="0"/>
        <w:tblLook w:firstRow="1" w:lastRow="0" w:firstColumn="0" w:lastColumn="0" w:noHBand="0" w:noVBand="0" w:val="0020"/>
        <w:tblCaption w:val="Table 7: Status, number of mentions and cited time span of resolved projects"/>
      </w:tblPr>
      <w:tblGrid>
        <w:gridCol w:w="1320"/>
        <w:gridCol w:w="1320"/>
        <w:gridCol w:w="1320"/>
        <w:gridCol w:w="1320"/>
        <w:gridCol w:w="1320"/>
        <w:gridCol w:w="1320"/>
      </w:tblGrid>
      <w:tr>
        <w:trPr>
          <w:tblHeader w:val="on"/>
        </w:trPr>
        <w:tc>
          <w:tcPr/>
          <w:p>
            <w:pPr>
              <w:pStyle w:val="Compact"/>
              <w:jc w:val="left"/>
            </w:pPr>
            <w:r>
              <w:t xml:space="preserve">Latest status</w:t>
            </w:r>
          </w:p>
        </w:tc>
        <w:tc>
          <w:tcPr/>
          <w:p>
            <w:pPr>
              <w:pStyle w:val="Compact"/>
              <w:jc w:val="right"/>
            </w:pPr>
            <w:r>
              <w:t xml:space="preserve">Projects</w:t>
            </w:r>
          </w:p>
        </w:tc>
        <w:tc>
          <w:tcPr/>
          <w:p>
            <w:pPr>
              <w:pStyle w:val="Compact"/>
              <w:jc w:val="left"/>
            </w:pPr>
            <w:r>
              <w:t xml:space="preserve">Mentions per project</w:t>
            </w:r>
          </w:p>
        </w:tc>
        <w:tc>
          <w:tcPr/>
          <w:p>
            <w:pPr>
              <w:pStyle w:val="Compact"/>
              <w:jc w:val="right"/>
            </w:pPr>
            <w:r>
              <w:t xml:space="preserve">Projects</w:t>
            </w:r>
          </w:p>
        </w:tc>
        <w:tc>
          <w:tcPr/>
          <w:p>
            <w:pPr>
              <w:pStyle w:val="Compact"/>
              <w:jc w:val="left"/>
            </w:pPr>
            <w:r>
              <w:t xml:space="preserve">Span of cited years</w:t>
            </w:r>
          </w:p>
        </w:tc>
        <w:tc>
          <w:tcPr/>
          <w:p>
            <w:pPr>
              <w:pStyle w:val="Compact"/>
              <w:jc w:val="right"/>
            </w:pPr>
            <w:r>
              <w:t xml:space="preserve">Projects</w:t>
            </w:r>
          </w:p>
        </w:tc>
      </w:tr>
      <w:tr>
        <w:tc>
          <w:tcPr/>
          <w:p>
            <w:pPr>
              <w:pStyle w:val="Compact"/>
              <w:jc w:val="left"/>
            </w:pPr>
            <w:r>
              <w:rPr>
                <w:rStyle w:val="VerbatimChar"/>
              </w:rPr>
              <w:t xml:space="preserve">in_progress</w:t>
            </w:r>
          </w:p>
        </w:tc>
        <w:tc>
          <w:tcPr/>
          <w:p>
            <w:pPr>
              <w:pStyle w:val="Compact"/>
              <w:jc w:val="right"/>
            </w:pPr>
            <w:r>
              <w:t xml:space="preserve">50</w:t>
            </w:r>
            <w:r>
              <w:t xml:space="preserve">,</w:t>
            </w:r>
            <w:r>
              <w:t xml:space="preserve">327</w:t>
            </w:r>
          </w:p>
        </w:tc>
        <w:tc>
          <w:tcPr/>
          <w:p>
            <w:pPr>
              <w:pStyle w:val="Compact"/>
              <w:jc w:val="left"/>
            </w:pPr>
            <w:r>
              <w:t xml:space="preserve">1</w:t>
            </w:r>
          </w:p>
        </w:tc>
        <w:tc>
          <w:tcPr/>
          <w:p>
            <w:pPr>
              <w:pStyle w:val="Compact"/>
              <w:jc w:val="right"/>
            </w:pPr>
            <w:r>
              <w:t xml:space="preserve">72</w:t>
            </w:r>
            <w:r>
              <w:t xml:space="preserve">,</w:t>
            </w:r>
            <w:r>
              <w:t xml:space="preserve">932</w:t>
            </w:r>
          </w:p>
        </w:tc>
        <w:tc>
          <w:tcPr/>
          <w:p>
            <w:pPr>
              <w:pStyle w:val="Compact"/>
              <w:jc w:val="left"/>
            </w:pPr>
            <w:r>
              <w:t xml:space="preserve">0 years</w:t>
            </w:r>
          </w:p>
        </w:tc>
        <w:tc>
          <w:tcPr/>
          <w:p>
            <w:pPr>
              <w:pStyle w:val="Compact"/>
              <w:jc w:val="right"/>
            </w:pPr>
            <w:r>
              <w:t xml:space="preserve">67</w:t>
            </w:r>
            <w:r>
              <w:t xml:space="preserve">,</w:t>
            </w:r>
            <w:r>
              <w:t xml:space="preserve">170</w:t>
            </w:r>
          </w:p>
        </w:tc>
      </w:tr>
      <w:tr>
        <w:tc>
          <w:tcPr/>
          <w:p>
            <w:pPr>
              <w:pStyle w:val="Compact"/>
              <w:jc w:val="left"/>
            </w:pPr>
            <w:r>
              <w:rPr>
                <w:rStyle w:val="VerbatimChar"/>
              </w:rPr>
              <w:t xml:space="preserve">completed</w:t>
            </w:r>
          </w:p>
        </w:tc>
        <w:tc>
          <w:tcPr/>
          <w:p>
            <w:pPr>
              <w:pStyle w:val="Compact"/>
              <w:jc w:val="right"/>
            </w:pPr>
            <w:r>
              <w:t xml:space="preserve">49</w:t>
            </w:r>
            <w:r>
              <w:t xml:space="preserve">,</w:t>
            </w:r>
            <w:r>
              <w:t xml:space="preserve">687</w:t>
            </w:r>
          </w:p>
        </w:tc>
        <w:tc>
          <w:tcPr/>
          <w:p>
            <w:pPr>
              <w:pStyle w:val="Compact"/>
              <w:jc w:val="left"/>
            </w:pPr>
            <w:r>
              <w:t xml:space="preserve">2</w:t>
            </w:r>
          </w:p>
        </w:tc>
        <w:tc>
          <w:tcPr/>
          <w:p>
            <w:pPr>
              <w:pStyle w:val="Compact"/>
              <w:jc w:val="right"/>
            </w:pPr>
            <w:r>
              <w:t xml:space="preserve">20</w:t>
            </w:r>
            <w:r>
              <w:t xml:space="preserve">,</w:t>
            </w:r>
            <w:r>
              <w:t xml:space="preserve">544</w:t>
            </w:r>
          </w:p>
        </w:tc>
        <w:tc>
          <w:tcPr/>
          <w:p>
            <w:pPr>
              <w:pStyle w:val="Compact"/>
              <w:jc w:val="left"/>
            </w:pPr>
            <w:r>
              <w:t xml:space="preserve">1-2 years</w:t>
            </w:r>
          </w:p>
        </w:tc>
        <w:tc>
          <w:tcPr/>
          <w:p>
            <w:pPr>
              <w:pStyle w:val="Compact"/>
              <w:jc w:val="right"/>
            </w:pPr>
            <w:r>
              <w:t xml:space="preserve">17</w:t>
            </w:r>
            <w:r>
              <w:t xml:space="preserve">,</w:t>
            </w:r>
            <w:r>
              <w:t xml:space="preserve">307</w:t>
            </w:r>
          </w:p>
        </w:tc>
      </w:tr>
      <w:tr>
        <w:tc>
          <w:tcPr/>
          <w:p>
            <w:pPr>
              <w:pStyle w:val="Compact"/>
              <w:jc w:val="left"/>
            </w:pPr>
            <w:r>
              <w:rPr>
                <w:rStyle w:val="VerbatimChar"/>
              </w:rPr>
              <w:t xml:space="preserve">planned</w:t>
            </w:r>
          </w:p>
        </w:tc>
        <w:tc>
          <w:tcPr/>
          <w:p>
            <w:pPr>
              <w:pStyle w:val="Compact"/>
              <w:jc w:val="right"/>
            </w:pPr>
            <w:r>
              <w:t xml:space="preserve">18</w:t>
            </w:r>
            <w:r>
              <w:t xml:space="preserve">,</w:t>
            </w:r>
            <w:r>
              <w:t xml:space="preserve">340</w:t>
            </w:r>
          </w:p>
        </w:tc>
        <w:tc>
          <w:tcPr/>
          <w:p>
            <w:pPr>
              <w:pStyle w:val="Compact"/>
              <w:jc w:val="left"/>
            </w:pPr>
            <w:r>
              <w:t xml:space="preserve">3-5</w:t>
            </w:r>
          </w:p>
        </w:tc>
        <w:tc>
          <w:tcPr/>
          <w:p>
            <w:pPr>
              <w:pStyle w:val="Compact"/>
              <w:jc w:val="right"/>
            </w:pPr>
            <w:r>
              <w:t xml:space="preserve">17</w:t>
            </w:r>
            <w:r>
              <w:t xml:space="preserve">,</w:t>
            </w:r>
            <w:r>
              <w:t xml:space="preserve">681</w:t>
            </w:r>
          </w:p>
        </w:tc>
        <w:tc>
          <w:tcPr/>
          <w:p>
            <w:pPr>
              <w:pStyle w:val="Compact"/>
              <w:jc w:val="left"/>
            </w:pPr>
            <w:r>
              <w:t xml:space="preserve">3-5 years</w:t>
            </w:r>
          </w:p>
        </w:tc>
        <w:tc>
          <w:tcPr/>
          <w:p>
            <w:pPr>
              <w:pStyle w:val="Compact"/>
              <w:jc w:val="right"/>
            </w:pPr>
            <w:r>
              <w:t xml:space="preserve">8</w:t>
            </w:r>
            <w:r>
              <w:t xml:space="preserve">,</w:t>
            </w:r>
            <w:r>
              <w:t xml:space="preserve">697</w:t>
            </w:r>
          </w:p>
        </w:tc>
      </w:tr>
      <w:tr>
        <w:tc>
          <w:tcPr/>
          <w:p>
            <w:pPr>
              <w:pStyle w:val="Compact"/>
              <w:jc w:val="left"/>
            </w:pPr>
            <w:r>
              <w:rPr>
                <w:rStyle w:val="VerbatimChar"/>
              </w:rPr>
              <w:t xml:space="preserve">mentioned</w:t>
            </w:r>
          </w:p>
        </w:tc>
        <w:tc>
          <w:tcPr/>
          <w:p>
            <w:pPr>
              <w:pStyle w:val="Compact"/>
              <w:jc w:val="right"/>
            </w:pPr>
            <w:r>
              <w:t xml:space="preserve">2</w:t>
            </w:r>
            <w:r>
              <w:t xml:space="preserve">,</w:t>
            </w:r>
            <w:r>
              <w:t xml:space="preserve">745</w:t>
            </w:r>
          </w:p>
        </w:tc>
        <w:tc>
          <w:tcPr/>
          <w:p>
            <w:pPr>
              <w:pStyle w:val="Compact"/>
              <w:jc w:val="left"/>
            </w:pPr>
            <w:r>
              <w:t xml:space="preserve">6-10</w:t>
            </w:r>
          </w:p>
        </w:tc>
        <w:tc>
          <w:tcPr/>
          <w:p>
            <w:pPr>
              <w:pStyle w:val="Compact"/>
              <w:jc w:val="right"/>
            </w:pPr>
            <w:r>
              <w:t xml:space="preserve">6</w:t>
            </w:r>
            <w:r>
              <w:t xml:space="preserve">,</w:t>
            </w:r>
            <w:r>
              <w:t xml:space="preserve">173</w:t>
            </w:r>
          </w:p>
        </w:tc>
        <w:tc>
          <w:tcPr/>
          <w:p>
            <w:pPr>
              <w:pStyle w:val="Compact"/>
              <w:jc w:val="left"/>
            </w:pPr>
            <m:oMath>
              <m:r>
                <m:rPr>
                  <m:sty m:val="p"/>
                </m:rPr>
                <m:t>&gt;</m:t>
              </m:r>
            </m:oMath>
            <w:r>
              <w:t xml:space="preserve">5 years</w:t>
            </w:r>
          </w:p>
        </w:tc>
        <w:tc>
          <w:tcPr/>
          <w:p>
            <w:pPr>
              <w:pStyle w:val="Compact"/>
              <w:jc w:val="right"/>
            </w:pPr>
            <w:r>
              <w:t xml:space="preserve">10</w:t>
            </w:r>
            <w:r>
              <w:t xml:space="preserve">,</w:t>
            </w:r>
            <w:r>
              <w:t xml:space="preserve">326</w:t>
            </w:r>
          </w:p>
        </w:tc>
      </w:tr>
      <w:tr>
        <w:tc>
          <w:tcPr/>
          <w:p>
            <w:pPr>
              <w:pStyle w:val="Compact"/>
            </w:pPr>
          </w:p>
        </w:tc>
        <w:tc>
          <w:tcPr/>
          <w:p>
            <w:pPr>
              <w:pStyle w:val="Compact"/>
            </w:pPr>
          </w:p>
        </w:tc>
        <w:tc>
          <w:tcPr/>
          <w:p>
            <w:pPr>
              <w:pStyle w:val="Compact"/>
              <w:jc w:val="left"/>
            </w:pPr>
            <w:r>
              <w:t xml:space="preserve">&gt;10</w:t>
            </w:r>
          </w:p>
        </w:tc>
        <w:tc>
          <w:tcPr/>
          <w:p>
            <w:pPr>
              <w:pStyle w:val="Compact"/>
              <w:jc w:val="right"/>
            </w:pPr>
            <w:r>
              <w:t xml:space="preserve">3</w:t>
            </w:r>
            <w:r>
              <w:t xml:space="preserve">,</w:t>
            </w:r>
            <w:r>
              <w:t xml:space="preserve">769</w:t>
            </w:r>
          </w:p>
        </w:tc>
        <w:tc>
          <w:tcPr/>
          <w:p>
            <w:pPr>
              <w:pStyle w:val="Compact"/>
              <w:jc w:val="left"/>
            </w:pPr>
            <w:r>
              <w:t xml:space="preserve">unknown years</w:t>
            </w:r>
          </w:p>
        </w:tc>
        <w:tc>
          <w:tcPr/>
          <w:p>
            <w:pPr>
              <w:pStyle w:val="Compact"/>
              <w:jc w:val="right"/>
            </w:pPr>
            <w:r>
              <w:t xml:space="preserve">17</w:t>
            </w:r>
            <w:r>
              <w:t xml:space="preserve">,</w:t>
            </w:r>
            <w:r>
              <w:t xml:space="preserve">599</w:t>
            </w:r>
          </w:p>
        </w:tc>
      </w:tr>
    </w:tbl>
    <w:bookmarkEnd w:id="53"/>
    <w:bookmarkStart w:id="60" w:name="amounts-confidence-and-time"/>
    <w:p>
      <w:pPr>
        <w:pStyle w:val="Heading2"/>
      </w:pPr>
      <w:r>
        <w:t xml:space="preserve">7.3 Amounts, confidence and time</w:t>
      </w:r>
    </w:p>
    <w:p>
      <w:pPr>
        <w:pStyle w:val="FirstParagraph"/>
      </w:pPr>
      <w:r>
        <w:t xml:space="preserve">A USD amount is attached to 120</w:t>
      </w:r>
      <w:r>
        <w:t xml:space="preserve">,</w:t>
      </w:r>
      <w:r>
        <w:t xml:space="preserve">240 mentions (39.0%) and to 56</w:t>
      </w:r>
      <w:r>
        <w:t xml:space="preserve">,</w:t>
      </w:r>
      <w:r>
        <w:t xml:space="preserve">500 projects (46.7%). Table 8 reports the distribution of the largest amount cited per project: median 128.5 M USD, interquartile range 23–500 M, and a long right tail (P99 of 12.5 B USD). The sum of these maxima across projects is 55.9 trillion USD, a number we report only to make the point that it must</w:t>
      </w:r>
      <w:r>
        <w:t xml:space="preserve"> </w:t>
      </w:r>
      <w:r>
        <w:rPr>
          <w:i/>
          <w:iCs/>
        </w:rPr>
        <w:t xml:space="preserve">not</w:t>
      </w:r>
      <w:r>
        <w:t xml:space="preserve"> </w:t>
      </w:r>
      <w:r>
        <w:t xml:space="preserve">be interpreted: it adds transaction values, capex budgets, contract values, financing amounts and estimated costs across projects and years, it double counts initiatives that the resolver split, and it treats a stated budget as if it were spent. Section 6.3 explains how amounts are stored and what an</w:t>
      </w:r>
      <w:r>
        <w:t xml:space="preserve"> </w:t>
      </w:r>
      <w:r>
        <w:rPr>
          <w:rStyle w:val="VerbatimChar"/>
        </w:rPr>
        <w:t xml:space="preserve">amount_type</w:t>
      </w:r>
      <w:r>
        <w:t xml:space="preserve"> </w:t>
      </w:r>
      <w:r>
        <w:t xml:space="preserve">field would need to add.</w:t>
      </w:r>
    </w:p>
    <w:p>
      <w:pPr>
        <w:pStyle w:val="TableCaption"/>
      </w:pPr>
      <w:r>
        <w:t xml:space="preserve">Table 8: Distribution of disclosed amounts and of projects per issuer</w:t>
      </w:r>
    </w:p>
    <w:tbl>
      <w:tblPr>
        <w:tblStyle w:val="Table"/>
        <w:tblW w:type="dxa" w:w="9792"/>
        <w:tblLayout w:type="fixed"/>
        <w:tblLook w:firstRow="1" w:lastRow="0" w:firstColumn="0" w:lastColumn="0" w:noHBand="0" w:noVBand="0" w:val="0020"/>
        <w:tblCaption w:val="Table 8: Distribution of disclosed amounts and of projects per issuer"/>
      </w:tblPr>
      <w:tblGrid>
        <w:gridCol w:w="2117"/>
        <w:gridCol w:w="1058"/>
        <w:gridCol w:w="1058"/>
        <w:gridCol w:w="1587"/>
        <w:gridCol w:w="1058"/>
        <w:gridCol w:w="1323"/>
        <w:gridCol w:w="1587"/>
      </w:tblGrid>
      <w:tr>
        <w:trPr>
          <w:tblHeader w:val="on"/>
        </w:trPr>
        <w:tc>
          <w:tcPr>
            <w:tcW w:type="dxa" w:w="2117"/>
            <w:tcMar>
              <w:left w:w="30" w:type="dxa"/>
              <w:right w:w="30" w:type="dxa"/>
            </w:tcMar>
          </w:tcPr>
          <w:p>
            <w:pPr>
              <w:pStyle w:val="Compact"/>
              <w:spacing w:after="0" w:before="0"/>
            </w:pPr>
          </w:p>
        </w:tc>
        <w:tc>
          <w:tcPr>
            <w:tcW w:type="dxa" w:w="1058"/>
            <w:tcMar>
              <w:left w:w="30" w:type="dxa"/>
              <w:right w:w="30" w:type="dxa"/>
            </w:tcMar>
          </w:tcPr>
          <w:p>
            <w:pPr>
              <w:pStyle w:val="Compact"/>
              <w:spacing w:after="0" w:before="0"/>
              <w:jc w:val="right"/>
            </w:pPr>
            <w:r>
              <w:rPr>
                <w:sz w:val="16"/>
              </w:rPr>
              <w:t xml:space="preserve">P10</w:t>
            </w:r>
          </w:p>
        </w:tc>
        <w:tc>
          <w:tcPr>
            <w:tcW w:type="dxa" w:w="1058"/>
            <w:tcMar>
              <w:left w:w="30" w:type="dxa"/>
              <w:right w:w="30" w:type="dxa"/>
            </w:tcMar>
          </w:tcPr>
          <w:p>
            <w:pPr>
              <w:pStyle w:val="Compact"/>
              <w:spacing w:after="0" w:before="0"/>
              <w:jc w:val="right"/>
            </w:pPr>
            <w:r>
              <w:rPr>
                <w:sz w:val="16"/>
              </w:rPr>
              <w:t xml:space="preserve">P25</w:t>
            </w:r>
          </w:p>
        </w:tc>
        <w:tc>
          <w:tcPr>
            <w:tcW w:type="dxa" w:w="1587"/>
            <w:tcMar>
              <w:left w:w="30" w:type="dxa"/>
              <w:right w:w="30" w:type="dxa"/>
            </w:tcMar>
          </w:tcPr>
          <w:p>
            <w:pPr>
              <w:pStyle w:val="Compact"/>
              <w:spacing w:after="0" w:before="0"/>
              <w:jc w:val="right"/>
            </w:pPr>
            <w:r>
              <w:rPr>
                <w:sz w:val="16"/>
              </w:rPr>
              <w:t xml:space="preserve">Median</w:t>
            </w:r>
          </w:p>
        </w:tc>
        <w:tc>
          <w:tcPr>
            <w:tcW w:type="dxa" w:w="1058"/>
            <w:tcMar>
              <w:left w:w="30" w:type="dxa"/>
              <w:right w:w="30" w:type="dxa"/>
            </w:tcMar>
          </w:tcPr>
          <w:p>
            <w:pPr>
              <w:pStyle w:val="Compact"/>
              <w:spacing w:after="0" w:before="0"/>
              <w:jc w:val="right"/>
            </w:pPr>
            <w:r>
              <w:rPr>
                <w:sz w:val="16"/>
              </w:rPr>
              <w:t xml:space="preserve">P75</w:t>
            </w:r>
          </w:p>
        </w:tc>
        <w:tc>
          <w:tcPr>
            <w:tcW w:type="dxa" w:w="1323"/>
            <w:tcMar>
              <w:left w:w="30" w:type="dxa"/>
              <w:right w:w="30" w:type="dxa"/>
            </w:tcMar>
          </w:tcPr>
          <w:p>
            <w:pPr>
              <w:pStyle w:val="Compact"/>
              <w:spacing w:after="0" w:before="0"/>
              <w:jc w:val="right"/>
            </w:pPr>
            <w:r>
              <w:rPr>
                <w:sz w:val="16"/>
              </w:rPr>
              <w:t xml:space="preserve">P90</w:t>
            </w:r>
          </w:p>
        </w:tc>
        <w:tc>
          <w:tcPr>
            <w:tcW w:type="dxa" w:w="1587"/>
            <w:tcMar>
              <w:left w:w="30" w:type="dxa"/>
              <w:right w:w="30" w:type="dxa"/>
            </w:tcMar>
          </w:tcPr>
          <w:p>
            <w:pPr>
              <w:pStyle w:val="Compact"/>
              <w:spacing w:after="0" w:before="0"/>
              <w:jc w:val="right"/>
            </w:pPr>
            <w:r>
              <w:rPr>
                <w:sz w:val="16"/>
              </w:rPr>
              <w:t xml:space="preserve">P99</w:t>
            </w:r>
          </w:p>
        </w:tc>
      </w:tr>
      <w:tr>
        <w:tc>
          <w:tcPr>
            <w:tcW w:type="dxa" w:w="2117"/>
            <w:tcMar>
              <w:left w:w="30" w:type="dxa"/>
              <w:right w:w="30" w:type="dxa"/>
            </w:tcMar>
          </w:tcPr>
          <w:p>
            <w:pPr>
              <w:pStyle w:val="Compact"/>
              <w:spacing w:after="0" w:before="0"/>
              <w:jc w:val="left"/>
            </w:pPr>
            <w:r>
              <w:rPr>
                <w:sz w:val="16"/>
              </w:rPr>
              <w:t xml:space="preserve">Largest amount cited per project</w:t>
            </w:r>
            <w:r>
              <w:rPr>
                <w:sz w:val="16"/>
              </w:rPr>
              <w:t xml:space="preserve">,</w:t>
            </w:r>
            <w:r>
              <w:rPr>
                <w:sz w:val="16"/>
              </w:rPr>
              <w:t xml:space="preserve"> </w:t>
            </w:r>
            <w:r>
              <w:rPr>
                <w:sz w:val="16"/>
              </w:rPr>
              <w:t xml:space="preserve">M USD (</w:t>
            </w:r>
            <m:oMath>
              <m:r>
                <m:t>N</m:t>
              </m:r>
            </m:oMath>
            <w:r>
              <w:rPr>
                <w:sz w:val="16"/>
              </w:rPr>
              <w:t xml:space="preserve"> </w:t>
            </w:r>
            <w:r>
              <w:rPr>
                <w:sz w:val="16"/>
              </w:rPr>
              <w:t xml:space="preserve">= 56</w:t>
            </w:r>
            <w:r>
              <w:rPr>
                <w:sz w:val="16"/>
              </w:rPr>
              <w:t xml:space="preserve">,</w:t>
            </w:r>
            <w:r>
              <w:rPr>
                <w:sz w:val="16"/>
              </w:rPr>
              <w:t xml:space="preserve">500)</w:t>
            </w:r>
          </w:p>
        </w:tc>
        <w:tc>
          <w:tcPr>
            <w:tcW w:type="dxa" w:w="1058"/>
            <w:tcMar>
              <w:left w:w="30" w:type="dxa"/>
              <w:right w:w="30" w:type="dxa"/>
            </w:tcMar>
          </w:tcPr>
          <w:p>
            <w:pPr>
              <w:pStyle w:val="Compact"/>
              <w:spacing w:after="0" w:before="0"/>
              <w:jc w:val="right"/>
            </w:pPr>
            <w:r>
              <w:rPr>
                <w:sz w:val="16"/>
              </w:rPr>
              <w:t xml:space="preserve">3.2</w:t>
            </w:r>
          </w:p>
        </w:tc>
        <w:tc>
          <w:tcPr>
            <w:tcW w:type="dxa" w:w="1058"/>
            <w:tcMar>
              <w:left w:w="30" w:type="dxa"/>
              <w:right w:w="30" w:type="dxa"/>
            </w:tcMar>
          </w:tcPr>
          <w:p>
            <w:pPr>
              <w:pStyle w:val="Compact"/>
              <w:spacing w:after="0" w:before="0"/>
              <w:jc w:val="right"/>
            </w:pPr>
            <w:r>
              <w:rPr>
                <w:sz w:val="16"/>
              </w:rPr>
              <w:t xml:space="preserve">23</w:t>
            </w:r>
          </w:p>
        </w:tc>
        <w:tc>
          <w:tcPr>
            <w:tcW w:type="dxa" w:w="1587"/>
            <w:tcMar>
              <w:left w:w="30" w:type="dxa"/>
              <w:right w:w="30" w:type="dxa"/>
            </w:tcMar>
          </w:tcPr>
          <w:p>
            <w:pPr>
              <w:pStyle w:val="Compact"/>
              <w:spacing w:after="0" w:before="0"/>
              <w:jc w:val="right"/>
            </w:pPr>
            <w:r>
              <w:rPr>
                <w:sz w:val="16"/>
              </w:rPr>
              <w:t xml:space="preserve">128.5</w:t>
            </w:r>
          </w:p>
        </w:tc>
        <w:tc>
          <w:tcPr>
            <w:tcW w:type="dxa" w:w="1058"/>
            <w:tcMar>
              <w:left w:w="30" w:type="dxa"/>
              <w:right w:w="30" w:type="dxa"/>
            </w:tcMar>
          </w:tcPr>
          <w:p>
            <w:pPr>
              <w:pStyle w:val="Compact"/>
              <w:spacing w:after="0" w:before="0"/>
              <w:jc w:val="right"/>
            </w:pPr>
            <w:r>
              <w:rPr>
                <w:sz w:val="16"/>
              </w:rPr>
              <w:t xml:space="preserve">500</w:t>
            </w:r>
          </w:p>
        </w:tc>
        <w:tc>
          <w:tcPr>
            <w:tcW w:type="dxa" w:w="1323"/>
            <w:tcMar>
              <w:left w:w="30" w:type="dxa"/>
              <w:right w:w="30" w:type="dxa"/>
            </w:tcMar>
          </w:tcPr>
          <w:p>
            <w:pPr>
              <w:pStyle w:val="Compact"/>
              <w:spacing w:after="0" w:before="0"/>
              <w:jc w:val="right"/>
            </w:pPr>
            <w:r>
              <w:rPr>
                <w:sz w:val="16"/>
              </w:rPr>
              <w:t xml:space="preserve">1</w:t>
            </w:r>
            <w:r>
              <w:rPr>
                <w:sz w:val="16"/>
              </w:rPr>
              <w:t xml:space="preserve">,</w:t>
            </w:r>
            <w:r>
              <w:rPr>
                <w:sz w:val="16"/>
              </w:rPr>
              <w:t xml:space="preserve">503</w:t>
            </w:r>
          </w:p>
        </w:tc>
        <w:tc>
          <w:tcPr>
            <w:tcW w:type="dxa" w:w="1587"/>
            <w:tcMar>
              <w:left w:w="30" w:type="dxa"/>
              <w:right w:w="30" w:type="dxa"/>
            </w:tcMar>
          </w:tcPr>
          <w:p>
            <w:pPr>
              <w:pStyle w:val="Compact"/>
              <w:spacing w:after="0" w:before="0"/>
              <w:jc w:val="right"/>
            </w:pPr>
            <w:r>
              <w:rPr>
                <w:sz w:val="16"/>
              </w:rPr>
              <w:t xml:space="preserve">12</w:t>
            </w:r>
            <w:r>
              <w:rPr>
                <w:sz w:val="16"/>
              </w:rPr>
              <w:t xml:space="preserve">,</w:t>
            </w:r>
            <w:r>
              <w:rPr>
                <w:sz w:val="16"/>
              </w:rPr>
              <w:t xml:space="preserve">501</w:t>
            </w:r>
          </w:p>
        </w:tc>
      </w:tr>
      <w:tr>
        <w:tc>
          <w:tcPr>
            <w:tcW w:type="dxa" w:w="2117"/>
            <w:tcMar>
              <w:left w:w="30" w:type="dxa"/>
              <w:right w:w="30" w:type="dxa"/>
            </w:tcMar>
          </w:tcPr>
          <w:p>
            <w:pPr>
              <w:pStyle w:val="Compact"/>
              <w:spacing w:after="0" w:before="0"/>
              <w:jc w:val="left"/>
            </w:pPr>
            <w:r>
              <w:rPr>
                <w:sz w:val="16"/>
              </w:rPr>
              <w:t xml:space="preserve">Projects per issuer (</w:t>
            </w:r>
            <m:oMath>
              <m:r>
                <m:t>N</m:t>
              </m:r>
            </m:oMath>
            <w:r>
              <w:rPr>
                <w:sz w:val="16"/>
              </w:rPr>
              <w:t xml:space="preserve"> </w:t>
            </w:r>
            <w:r>
              <w:rPr>
                <w:sz w:val="16"/>
              </w:rPr>
              <w:t xml:space="preserve">= 2</w:t>
            </w:r>
            <w:r>
              <w:rPr>
                <w:sz w:val="16"/>
              </w:rPr>
              <w:t xml:space="preserve">,</w:t>
            </w:r>
            <w:r>
              <w:rPr>
                <w:sz w:val="16"/>
              </w:rPr>
              <w:t xml:space="preserve">492)</w:t>
            </w:r>
          </w:p>
        </w:tc>
        <w:tc>
          <w:tcPr>
            <w:tcW w:type="dxa" w:w="1058"/>
            <w:tcMar>
              <w:left w:w="30" w:type="dxa"/>
              <w:right w:w="30" w:type="dxa"/>
            </w:tcMar>
          </w:tcPr>
          <w:p>
            <w:pPr>
              <w:pStyle w:val="Compact"/>
              <w:spacing w:after="0" w:before="0"/>
              <w:jc w:val="right"/>
            </w:pPr>
            <w:r>
              <w:rPr>
                <w:sz w:val="16"/>
              </w:rPr>
              <w:t xml:space="preserve">12</w:t>
            </w:r>
          </w:p>
        </w:tc>
        <w:tc>
          <w:tcPr>
            <w:tcW w:type="dxa" w:w="1058"/>
            <w:tcMar>
              <w:left w:w="30" w:type="dxa"/>
              <w:right w:w="30" w:type="dxa"/>
            </w:tcMar>
          </w:tcPr>
          <w:p>
            <w:pPr>
              <w:pStyle w:val="Compact"/>
              <w:spacing w:after="0" w:before="0"/>
              <w:jc w:val="right"/>
            </w:pPr>
            <w:r>
              <w:rPr>
                <w:sz w:val="16"/>
              </w:rPr>
              <w:t xml:space="preserve">24</w:t>
            </w:r>
          </w:p>
        </w:tc>
        <w:tc>
          <w:tcPr>
            <w:tcW w:type="dxa" w:w="1587"/>
            <w:tcMar>
              <w:left w:w="30" w:type="dxa"/>
              <w:right w:w="30" w:type="dxa"/>
            </w:tcMar>
          </w:tcPr>
          <w:p>
            <w:pPr>
              <w:pStyle w:val="Compact"/>
              <w:spacing w:after="0" w:before="0"/>
              <w:jc w:val="right"/>
            </w:pPr>
            <w:r>
              <w:rPr>
                <w:sz w:val="16"/>
              </w:rPr>
              <w:t xml:space="preserve">42</w:t>
            </w:r>
          </w:p>
        </w:tc>
        <w:tc>
          <w:tcPr>
            <w:tcW w:type="dxa" w:w="1058"/>
            <w:tcMar>
              <w:left w:w="30" w:type="dxa"/>
              <w:right w:w="30" w:type="dxa"/>
            </w:tcMar>
          </w:tcPr>
          <w:p>
            <w:pPr>
              <w:pStyle w:val="Compact"/>
              <w:spacing w:after="0" w:before="0"/>
              <w:jc w:val="right"/>
            </w:pPr>
            <w:r>
              <w:rPr>
                <w:sz w:val="16"/>
              </w:rPr>
              <w:t xml:space="preserve">67</w:t>
            </w:r>
          </w:p>
        </w:tc>
        <w:tc>
          <w:tcPr>
            <w:tcW w:type="dxa" w:w="1323"/>
            <w:tcMar>
              <w:left w:w="30" w:type="dxa"/>
              <w:right w:w="30" w:type="dxa"/>
            </w:tcMar>
          </w:tcPr>
          <w:p>
            <w:pPr>
              <w:pStyle w:val="Compact"/>
              <w:spacing w:after="0" w:before="0"/>
              <w:jc w:val="right"/>
            </w:pPr>
            <w:r>
              <w:rPr>
                <w:sz w:val="16"/>
              </w:rPr>
              <w:t xml:space="preserve">94</w:t>
            </w:r>
          </w:p>
        </w:tc>
        <w:tc>
          <w:tcPr>
            <w:tcW w:type="dxa" w:w="1587"/>
            <w:tcMar>
              <w:left w:w="30" w:type="dxa"/>
              <w:right w:w="30" w:type="dxa"/>
            </w:tcMar>
          </w:tcPr>
          <w:p>
            <w:pPr>
              <w:pStyle w:val="Compact"/>
              <w:spacing w:after="0" w:before="0"/>
              <w:jc w:val="right"/>
            </w:pPr>
            <w:r>
              <w:rPr>
                <w:sz w:val="16"/>
              </w:rPr>
              <w:t xml:space="preserve">140</w:t>
            </w:r>
          </w:p>
        </w:tc>
      </w:tr>
    </w:tbl>
    <w:p>
      <w:pPr>
        <w:pStyle w:val="BodyText"/>
      </w:pPr>
      <w:r>
        <w:t xml:space="preserve">The self-reported confidence of mentions is concentrated at the top of the scale (Figure 4; Table 16 in the appendix): 35.2% of mentions have confidence 1.0, 32.7% have 0.9, and only 1.6% fall at or below 0.6. Mentions below 0.45 are discarded at extraction time. The distribution says more about the model’s reporting habits than about accuracy; whether a confidence of 0.7 corresponds to a lower precision than a confidence of 1.0 is precisely the calibration question that only labeled data can answer.</w:t>
      </w:r>
    </w:p>
    <w:p>
      <w:pPr>
        <w:pStyle w:val="CaptionedFigure"/>
      </w:pPr>
      <w:r>
        <w:drawing>
          <wp:inline>
            <wp:extent cx="4533900" cy="1889125"/>
            <wp:effectExtent b="0" l="0" r="0" t="0"/>
            <wp:docPr descr="" title="" id="55" name="Picture"/>
            <a:graphic>
              <a:graphicData uri="http://schemas.openxmlformats.org/drawingml/2006/picture">
                <pic:pic>
                  <pic:nvPicPr>
                    <pic:cNvPr descr="figures/fig_confidence.png" id="56" name="Picture"/>
                    <pic:cNvPicPr>
                      <a:picLocks noChangeArrowheads="1" noChangeAspect="1"/>
                    </pic:cNvPicPr>
                  </pic:nvPicPr>
                  <pic:blipFill>
                    <a:blip r:embed="rId54"/>
                    <a:stretch>
                      <a:fillRect/>
                    </a:stretch>
                  </pic:blipFill>
                  <pic:spPr bwMode="auto">
                    <a:xfrm>
                      <a:off x="0" y="0"/>
                      <a:ext cx="4533900" cy="1889125"/>
                    </a:xfrm>
                    <a:prstGeom prst="rect">
                      <a:avLst/>
                    </a:prstGeom>
                    <a:noFill/>
                    <a:ln w="9525">
                      <a:noFill/>
                      <a:headEnd/>
                      <a:tailEnd/>
                    </a:ln>
                  </pic:spPr>
                </pic:pic>
              </a:graphicData>
            </a:graphic>
          </wp:inline>
        </w:drawing>
      </w:r>
    </w:p>
    <w:p>
      <w:pPr>
        <w:pStyle w:val="ImageCaption"/>
      </w:pPr>
      <w:r>
        <w:t xml:space="preserve">Figure 4: Self-reported extraction confidence of the 308</w:t>
      </w:r>
      <w:r>
        <w:t xml:space="preserve">,</w:t>
      </w:r>
      <w:r>
        <w:t xml:space="preserve">065 mentions (rounded to one decimal; mentions below 0.45 are not stored).</w:t>
      </w:r>
    </w:p>
    <w:p>
      <w:pPr>
        <w:pStyle w:val="BodyText"/>
      </w:pPr>
      <w:r>
        <w:t xml:space="preserve">Over time (Figure 5; Table 14), mentions rise from 11</w:t>
      </w:r>
      <w:r>
        <w:t xml:space="preserve">,</w:t>
      </w:r>
      <w:r>
        <w:t xml:space="preserve">908 in 2010 to 23</w:t>
      </w:r>
      <w:r>
        <w:t xml:space="preserve">,</w:t>
      </w:r>
      <w:r>
        <w:t xml:space="preserve">220 in 2025, almost in proportion to the number of issuers observed (1</w:t>
      </w:r>
      <w:r>
        <w:t xml:space="preserve">,</w:t>
      </w:r>
      <w:r>
        <w:t xml:space="preserve">224 to 2</w:t>
      </w:r>
      <w:r>
        <w:t xml:space="preserve">,</w:t>
      </w:r>
      <w:r>
        <w:t xml:space="preserve">280 with at least one mention), while the number of projects first observed in a year is flat at 6</w:t>
      </w:r>
      <w:r>
        <w:t xml:space="preserve">,</w:t>
      </w:r>
      <w:r>
        <w:t xml:space="preserve">200–8</w:t>
      </w:r>
      <w:r>
        <w:t xml:space="preserve">,</w:t>
      </w:r>
      <w:r>
        <w:t xml:space="preserve">200. The rise is therefore mostly a coverage effect of the snapshot universe, not evidence of an increase in strategic activity; the flat count of new projects per year combined with a growing issuer base implies a declining number of new projects per issuer, which may reflect the lower disclosure intensity of the smaller firms that enter the panel later, or the resolver’s tendency to attach later mentions to existing keys. Both explanations are testable with the panel.</w:t>
      </w:r>
    </w:p>
    <w:p>
      <w:pPr>
        <w:pStyle w:val="CaptionedFigure"/>
      </w:pPr>
      <w:r>
        <w:drawing>
          <wp:inline>
            <wp:extent cx="5334000" cy="2370666"/>
            <wp:effectExtent b="0" l="0" r="0" t="0"/>
            <wp:docPr descr="" title="" id="58" name="Picture"/>
            <a:graphic>
              <a:graphicData uri="http://schemas.openxmlformats.org/drawingml/2006/picture">
                <pic:pic>
                  <pic:nvPicPr>
                    <pic:cNvPr descr="figures/fig_mentions_year.png" id="59" name="Picture"/>
                    <pic:cNvPicPr>
                      <a:picLocks noChangeArrowheads="1" noChangeAspect="1"/>
                    </pic:cNvPicPr>
                  </pic:nvPicPr>
                  <pic:blipFill>
                    <a:blip r:embed="rId57"/>
                    <a:stretch>
                      <a:fillRect/>
                    </a:stretch>
                  </pic:blipFill>
                  <pic:spPr bwMode="auto">
                    <a:xfrm>
                      <a:off x="0" y="0"/>
                      <a:ext cx="5334000" cy="2370666"/>
                    </a:xfrm>
                    <a:prstGeom prst="rect">
                      <a:avLst/>
                    </a:prstGeom>
                    <a:noFill/>
                    <a:ln w="9525">
                      <a:noFill/>
                      <a:headEnd/>
                      <a:tailEnd/>
                    </a:ln>
                  </pic:spPr>
                </pic:pic>
              </a:graphicData>
            </a:graphic>
          </wp:inline>
        </w:drawing>
      </w:r>
    </w:p>
    <w:p>
      <w:pPr>
        <w:pStyle w:val="ImageCaption"/>
      </w:pPr>
      <w:r>
        <w:t xml:space="preserve">Figure 5: Project mentions and projects first observed, by filing year (2026 covers January to October 27).</w:t>
      </w:r>
    </w:p>
    <w:bookmarkEnd w:id="60"/>
    <w:bookmarkStart w:id="61" w:name="a-provenance-example"/>
    <w:p>
      <w:pPr>
        <w:pStyle w:val="Heading2"/>
      </w:pPr>
      <w:r>
        <w:t xml:space="preserve">7.4 A provenance example</w:t>
      </w:r>
    </w:p>
    <w:p>
      <w:pPr>
        <w:pStyle w:val="FirstParagraph"/>
      </w:pPr>
      <w:r>
        <w:t xml:space="preserve">Table 9 follows one resolved project through its mentions: the Corpus Christi liquefaction expansion of Cheniere Energy (ticker LNG), typed</w:t>
      </w:r>
      <w:r>
        <w:t xml:space="preserve"> </w:t>
      </w:r>
      <w:r>
        <w:rPr>
          <w:rStyle w:val="VerbatimChar"/>
        </w:rPr>
        <w:t xml:space="preserve">plant_construction</w:t>
      </w:r>
      <w:r>
        <w:t xml:space="preserve">, with eight mentions in 8-K and 10-K filings between April 2014 and March 2022 and a largest cited amount of 11.5 B USD. Each row is traceable: the accession number identifies the document on EDGAR, the section identifier locates the passage in the parsed corpus, and the snippet is the model’s one-sentence description, which the contract requires to be grounded in the passage. The example also exposes the resolver’s coarseness: the project key for this issuer and type is the location token</w:t>
      </w:r>
      <w:r>
        <w:t xml:space="preserve"> </w:t>
      </w:r>
      <w:r>
        <w:t xml:space="preserve">“corpus christi”</w:t>
      </w:r>
      <w:r>
        <w:t xml:space="preserve">, so the Stage 3 expansion and the earlier trains share one project identifier although Cheniere describes them as distinct phases. A reviewer can see this immediately because the mentions and their snippets are preserved; a user who consumes only the</w:t>
      </w:r>
      <w:r>
        <w:t xml:space="preserve"> </w:t>
      </w:r>
      <w:r>
        <w:rPr>
          <w:rStyle w:val="VerbatimChar"/>
        </w:rPr>
        <w:t xml:space="preserve">projects</w:t>
      </w:r>
      <w:r>
        <w:t xml:space="preserve"> </w:t>
      </w:r>
      <w:r>
        <w:t xml:space="preserve">table cannot.</w:t>
      </w:r>
    </w:p>
    <w:p>
      <w:pPr>
        <w:pStyle w:val="TableCaption"/>
      </w:pPr>
      <w:r>
        <w:t xml:space="preserve">Table 9: Provenance of one resolved project: Cheniere Energy, Corpus Christi liquefaction (project</w:t>
      </w:r>
      <w:r>
        <w:t xml:space="preserve"> </w:t>
      </w:r>
      <w:r>
        <w:rPr>
          <w:rStyle w:val="VerbatimChar"/>
        </w:rPr>
        <w:t xml:space="preserve">3e2705ba…</w:t>
      </w:r>
      <w:r>
        <w:t xml:space="preserve">)</w:t>
      </w:r>
    </w:p>
    <w:tbl>
      <w:tblPr>
        <w:tblStyle w:val="Table"/>
        <w:tblW w:type="auto" w:w="0"/>
        <w:tblLook w:firstRow="1" w:lastRow="0" w:firstColumn="0" w:lastColumn="0" w:noHBand="0" w:noVBand="0" w:val="0020"/>
        <w:tblCaption w:val="Table 9: Provenance of one resolved project: Cheniere Energy, Corpus Christi liquefaction (project 3e2705ba…)"/>
      </w:tblPr>
      <w:tblGrid>
        <w:gridCol w:w="1584"/>
        <w:gridCol w:w="1584"/>
        <w:gridCol w:w="1584"/>
        <w:gridCol w:w="1584"/>
        <w:gridCol w:w="1584"/>
      </w:tblGrid>
      <w:tr>
        <w:trPr>
          <w:tblHeader w:val="on"/>
        </w:trPr>
        <w:tc>
          <w:tcPr/>
          <w:p>
            <w:pPr>
              <w:pStyle w:val="Compact"/>
              <w:jc w:val="left"/>
            </w:pPr>
            <w:r>
              <w:t xml:space="preserve">Accession</w:t>
            </w:r>
          </w:p>
        </w:tc>
        <w:tc>
          <w:tcPr/>
          <w:p>
            <w:pPr>
              <w:pStyle w:val="Compact"/>
              <w:jc w:val="left"/>
            </w:pPr>
            <w:r>
              <w:t xml:space="preserve">Filed</w:t>
            </w:r>
          </w:p>
        </w:tc>
        <w:tc>
          <w:tcPr/>
          <w:p>
            <w:pPr>
              <w:pStyle w:val="Compact"/>
              <w:jc w:val="left"/>
            </w:pPr>
            <w:r>
              <w:t xml:space="preserve">Form</w:t>
            </w:r>
          </w:p>
        </w:tc>
        <w:tc>
          <w:tcPr/>
          <w:p>
            <w:pPr>
              <w:pStyle w:val="Compact"/>
              <w:jc w:val="left"/>
            </w:pPr>
            <w:r>
              <w:t xml:space="preserve">Status / amount</w:t>
            </w:r>
          </w:p>
        </w:tc>
        <w:tc>
          <w:tcPr/>
          <w:p>
            <w:pPr>
              <w:pStyle w:val="Compact"/>
              <w:jc w:val="left"/>
            </w:pPr>
            <w:r>
              <w:t xml:space="preserve">Evidence snippet (model-generated description grounded in the section)</w:t>
            </w:r>
          </w:p>
        </w:tc>
      </w:tr>
      <w:tr>
        <w:tc>
          <w:tcPr/>
          <w:p>
            <w:pPr>
              <w:pStyle w:val="Compact"/>
              <w:jc w:val="left"/>
            </w:pPr>
            <w:r>
              <w:rPr>
                <w:rStyle w:val="VerbatimChar"/>
              </w:rPr>
              <w:t xml:space="preserve">0000003570-14-000070</w:t>
            </w:r>
          </w:p>
        </w:tc>
        <w:tc>
          <w:tcPr/>
          <w:p>
            <w:pPr>
              <w:pStyle w:val="Compact"/>
              <w:jc w:val="left"/>
            </w:pPr>
            <w:r>
              <w:t xml:space="preserve">2014-04-08</w:t>
            </w:r>
          </w:p>
        </w:tc>
        <w:tc>
          <w:tcPr/>
          <w:p>
            <w:pPr>
              <w:pStyle w:val="Compact"/>
              <w:jc w:val="left"/>
            </w:pPr>
            <w:r>
              <w:t xml:space="preserve">8-K</w:t>
            </w:r>
          </w:p>
        </w:tc>
        <w:tc>
          <w:tcPr/>
          <w:p>
            <w:pPr>
              <w:pStyle w:val="Compact"/>
              <w:jc w:val="left"/>
            </w:pPr>
            <w:r>
              <w:t xml:space="preserve">planned / –</w:t>
            </w:r>
          </w:p>
        </w:tc>
        <w:tc>
          <w:tcPr/>
          <w:p>
            <w:pPr>
              <w:pStyle w:val="Compact"/>
              <w:jc w:val="left"/>
            </w:pPr>
            <w:r>
              <w:t xml:space="preserve">The construction of the first liquefaction train at the Corpus Christi Liquefaction facility is contingent upon receiving regulatory approvals and securing financing.</w:t>
            </w:r>
          </w:p>
        </w:tc>
      </w:tr>
      <w:tr>
        <w:tc>
          <w:tcPr/>
          <w:p>
            <w:pPr>
              <w:pStyle w:val="Compact"/>
              <w:jc w:val="left"/>
            </w:pPr>
            <w:r>
              <w:rPr>
                <w:rStyle w:val="VerbatimChar"/>
              </w:rPr>
              <w:t xml:space="preserve">0000003570-14-000114</w:t>
            </w:r>
          </w:p>
        </w:tc>
        <w:tc>
          <w:tcPr/>
          <w:p>
            <w:pPr>
              <w:pStyle w:val="Compact"/>
              <w:jc w:val="left"/>
            </w:pPr>
            <w:r>
              <w:t xml:space="preserve">2014-05-30</w:t>
            </w:r>
          </w:p>
        </w:tc>
        <w:tc>
          <w:tcPr/>
          <w:p>
            <w:pPr>
              <w:pStyle w:val="Compact"/>
              <w:jc w:val="left"/>
            </w:pPr>
            <w:r>
              <w:t xml:space="preserve">8-K</w:t>
            </w:r>
          </w:p>
        </w:tc>
        <w:tc>
          <w:tcPr/>
          <w:p>
            <w:pPr>
              <w:pStyle w:val="Compact"/>
              <w:jc w:val="left"/>
            </w:pPr>
            <w:r>
              <w:t xml:space="preserve">planned / –</w:t>
            </w:r>
          </w:p>
        </w:tc>
        <w:tc>
          <w:tcPr/>
          <w:p>
            <w:pPr>
              <w:pStyle w:val="Compact"/>
              <w:jc w:val="left"/>
            </w:pPr>
            <w:r>
              <w:t xml:space="preserve">CCLNG will construct a second liquefaction train at its facility to sell LNG to IBERDROLA under a long-term agreement.</w:t>
            </w:r>
          </w:p>
        </w:tc>
      </w:tr>
      <w:tr>
        <w:tc>
          <w:tcPr/>
          <w:p>
            <w:pPr>
              <w:pStyle w:val="Compact"/>
              <w:jc w:val="left"/>
            </w:pPr>
            <w:r>
              <w:rPr>
                <w:rStyle w:val="VerbatimChar"/>
              </w:rPr>
              <w:t xml:space="preserve">0000003570-14-000117</w:t>
            </w:r>
          </w:p>
        </w:tc>
        <w:tc>
          <w:tcPr/>
          <w:p>
            <w:pPr>
              <w:pStyle w:val="Compact"/>
              <w:jc w:val="left"/>
            </w:pPr>
            <w:r>
              <w:t xml:space="preserve">2014-06-02</w:t>
            </w:r>
          </w:p>
        </w:tc>
        <w:tc>
          <w:tcPr/>
          <w:p>
            <w:pPr>
              <w:pStyle w:val="Compact"/>
              <w:jc w:val="left"/>
            </w:pPr>
            <w:r>
              <w:t xml:space="preserve">8-K</w:t>
            </w:r>
          </w:p>
        </w:tc>
        <w:tc>
          <w:tcPr/>
          <w:p>
            <w:pPr>
              <w:pStyle w:val="Compact"/>
              <w:jc w:val="left"/>
            </w:pPr>
            <w:r>
              <w:t xml:space="preserve">planned / –</w:t>
            </w:r>
          </w:p>
        </w:tc>
        <w:tc>
          <w:tcPr/>
          <w:p>
            <w:pPr>
              <w:pStyle w:val="Compact"/>
              <w:jc w:val="left"/>
            </w:pPr>
            <w:r>
              <w:t xml:space="preserve">Cheniere Energy, Inc. plans to construct a second liquefaction train at the Corpus Christi Liquefaction facility.</w:t>
            </w:r>
          </w:p>
        </w:tc>
      </w:tr>
      <w:tr>
        <w:tc>
          <w:tcPr/>
          <w:p>
            <w:pPr>
              <w:pStyle w:val="Compact"/>
              <w:jc w:val="left"/>
            </w:pPr>
            <w:r>
              <w:rPr>
                <w:rStyle w:val="VerbatimChar"/>
              </w:rPr>
              <w:t xml:space="preserve">0000003570-14-000139</w:t>
            </w:r>
          </w:p>
        </w:tc>
        <w:tc>
          <w:tcPr/>
          <w:p>
            <w:pPr>
              <w:pStyle w:val="Compact"/>
              <w:jc w:val="left"/>
            </w:pPr>
            <w:r>
              <w:t xml:space="preserve">2014-06-30</w:t>
            </w:r>
          </w:p>
        </w:tc>
        <w:tc>
          <w:tcPr/>
          <w:p>
            <w:pPr>
              <w:pStyle w:val="Compact"/>
              <w:jc w:val="left"/>
            </w:pPr>
            <w:r>
              <w:t xml:space="preserve">8-K</w:t>
            </w:r>
          </w:p>
        </w:tc>
        <w:tc>
          <w:tcPr/>
          <w:p>
            <w:pPr>
              <w:pStyle w:val="Compact"/>
              <w:jc w:val="left"/>
            </w:pPr>
            <w:r>
              <w:t xml:space="preserve">planned / –</w:t>
            </w:r>
          </w:p>
        </w:tc>
        <w:tc>
          <w:tcPr/>
          <w:p>
            <w:pPr>
              <w:pStyle w:val="Compact"/>
              <w:jc w:val="left"/>
            </w:pPr>
            <w:r>
              <w:t xml:space="preserve">Cheniere Energy, Inc. plans to construct a second liquefaction train at the Corpus Christi Liquefaction facility.</w:t>
            </w:r>
          </w:p>
        </w:tc>
      </w:tr>
      <w:tr>
        <w:tc>
          <w:tcPr/>
          <w:p>
            <w:pPr>
              <w:pStyle w:val="Compact"/>
              <w:jc w:val="left"/>
            </w:pPr>
            <w:r>
              <w:rPr>
                <w:rStyle w:val="VerbatimChar"/>
              </w:rPr>
              <w:t xml:space="preserve">0000003570-14-000153</w:t>
            </w:r>
          </w:p>
        </w:tc>
        <w:tc>
          <w:tcPr/>
          <w:p>
            <w:pPr>
              <w:pStyle w:val="Compact"/>
              <w:jc w:val="left"/>
            </w:pPr>
            <w:r>
              <w:t xml:space="preserve">2014-07-17</w:t>
            </w:r>
          </w:p>
        </w:tc>
        <w:tc>
          <w:tcPr/>
          <w:p>
            <w:pPr>
              <w:pStyle w:val="Compact"/>
              <w:jc w:val="left"/>
            </w:pPr>
            <w:r>
              <w:t xml:space="preserve">8-K</w:t>
            </w:r>
          </w:p>
        </w:tc>
        <w:tc>
          <w:tcPr/>
          <w:p>
            <w:pPr>
              <w:pStyle w:val="Compact"/>
              <w:jc w:val="left"/>
            </w:pPr>
            <w:r>
              <w:t xml:space="preserve">planned / –</w:t>
            </w:r>
          </w:p>
        </w:tc>
        <w:tc>
          <w:tcPr/>
          <w:p>
            <w:pPr>
              <w:pStyle w:val="Compact"/>
              <w:jc w:val="left"/>
            </w:pPr>
            <w:r>
              <w:t xml:space="preserve">Cheniere Energy, Inc. plans to construct a third liquefaction train at its Corpus Christi Liquefaction facility.</w:t>
            </w:r>
          </w:p>
        </w:tc>
      </w:tr>
      <w:tr>
        <w:tc>
          <w:tcPr/>
          <w:p>
            <w:pPr>
              <w:pStyle w:val="Compact"/>
              <w:jc w:val="left"/>
            </w:pPr>
            <w:r>
              <w:rPr>
                <w:rStyle w:val="VerbatimChar"/>
              </w:rPr>
              <w:t xml:space="preserve">0000003570-14-000306</w:t>
            </w:r>
          </w:p>
        </w:tc>
        <w:tc>
          <w:tcPr/>
          <w:p>
            <w:pPr>
              <w:pStyle w:val="Compact"/>
              <w:jc w:val="left"/>
            </w:pPr>
            <w:r>
              <w:t xml:space="preserve">2014-12-18</w:t>
            </w:r>
          </w:p>
        </w:tc>
        <w:tc>
          <w:tcPr/>
          <w:p>
            <w:pPr>
              <w:pStyle w:val="Compact"/>
              <w:jc w:val="left"/>
            </w:pPr>
            <w:r>
              <w:t xml:space="preserve">8-K</w:t>
            </w:r>
          </w:p>
        </w:tc>
        <w:tc>
          <w:tcPr/>
          <w:p>
            <w:pPr>
              <w:pStyle w:val="Compact"/>
              <w:jc w:val="left"/>
            </w:pPr>
            <w:r>
              <w:t xml:space="preserve">planned / –</w:t>
            </w:r>
          </w:p>
        </w:tc>
        <w:tc>
          <w:tcPr/>
          <w:p>
            <w:pPr>
              <w:pStyle w:val="Compact"/>
              <w:jc w:val="left"/>
            </w:pPr>
            <w:r>
              <w:t xml:space="preserve">Cheniere Energy, Inc. plans to construct a third liquefaction train at its Corpus Christi facility.</w:t>
            </w:r>
          </w:p>
        </w:tc>
      </w:tr>
      <w:tr>
        <w:tc>
          <w:tcPr/>
          <w:p>
            <w:pPr>
              <w:pStyle w:val="Compact"/>
              <w:jc w:val="left"/>
            </w:pPr>
            <w:r>
              <w:rPr>
                <w:rStyle w:val="VerbatimChar"/>
              </w:rPr>
              <w:t xml:space="preserve">0001193125-15-186045</w:t>
            </w:r>
          </w:p>
        </w:tc>
        <w:tc>
          <w:tcPr/>
          <w:p>
            <w:pPr>
              <w:pStyle w:val="Compact"/>
              <w:jc w:val="left"/>
            </w:pPr>
            <w:r>
              <w:t xml:space="preserve">2015-05-13</w:t>
            </w:r>
          </w:p>
        </w:tc>
        <w:tc>
          <w:tcPr/>
          <w:p>
            <w:pPr>
              <w:pStyle w:val="Compact"/>
              <w:jc w:val="left"/>
            </w:pPr>
            <w:r>
              <w:t xml:space="preserve">8-K</w:t>
            </w:r>
          </w:p>
        </w:tc>
        <w:tc>
          <w:tcPr/>
          <w:p>
            <w:pPr>
              <w:pStyle w:val="Compact"/>
              <w:jc w:val="left"/>
            </w:pPr>
            <w:r>
              <w:t xml:space="preserve">in_progress / 11.5 B USD</w:t>
            </w:r>
          </w:p>
        </w:tc>
        <w:tc>
          <w:tcPr/>
          <w:p>
            <w:pPr>
              <w:pStyle w:val="Compact"/>
              <w:jc w:val="left"/>
            </w:pPr>
            <w:r>
              <w:t xml:space="preserve">The project involves the development, construction, operation, and maintenance of a natural gas liquefaction and export facility and related infrastructure in San Patrici</w:t>
            </w:r>
          </w:p>
        </w:tc>
      </w:tr>
      <w:tr>
        <w:tc>
          <w:tcPr/>
          <w:p>
            <w:pPr>
              <w:pStyle w:val="Compact"/>
              <w:jc w:val="left"/>
            </w:pPr>
            <w:r>
              <w:rPr>
                <w:rStyle w:val="VerbatimChar"/>
              </w:rPr>
              <w:t xml:space="preserve">0000003570-22-000029</w:t>
            </w:r>
          </w:p>
        </w:tc>
        <w:tc>
          <w:tcPr/>
          <w:p>
            <w:pPr>
              <w:pStyle w:val="Compact"/>
              <w:jc w:val="left"/>
            </w:pPr>
            <w:r>
              <w:t xml:space="preserve">2022-03-07</w:t>
            </w:r>
          </w:p>
        </w:tc>
        <w:tc>
          <w:tcPr/>
          <w:p>
            <w:pPr>
              <w:pStyle w:val="Compact"/>
              <w:jc w:val="left"/>
            </w:pPr>
            <w:r>
              <w:t xml:space="preserve">8-K</w:t>
            </w:r>
          </w:p>
        </w:tc>
        <w:tc>
          <w:tcPr/>
          <w:p>
            <w:pPr>
              <w:pStyle w:val="Compact"/>
              <w:jc w:val="left"/>
            </w:pPr>
            <w:r>
              <w:t xml:space="preserve">in_progress / 5.5 B USD</w:t>
            </w:r>
          </w:p>
        </w:tc>
        <w:tc>
          <w:tcPr/>
          <w:p>
            <w:pPr>
              <w:pStyle w:val="Compact"/>
              <w:jc w:val="left"/>
            </w:pPr>
            <w:r>
              <w:t xml:space="preserve">The project involves the engineering, procurement, construction, pre-commissioning, commissioning, start-up, and testing of a mid-scale natural gas liquefaction facility</w:t>
            </w:r>
          </w:p>
        </w:tc>
      </w:tr>
    </w:tbl>
    <w:p>
      <w:pPr>
        <w:pStyle w:val="BodyText"/>
      </w:pPr>
      <w:r>
        <w:rPr>
          <w:i/>
          <w:iCs/>
        </w:rPr>
        <w:t xml:space="preserve">Notes:</w:t>
      </w:r>
      <w:r>
        <w:t xml:space="preserve"> </w:t>
      </w:r>
      <w:r>
        <w:t xml:space="preserve">Snippets are the first 170 characters of the model-generated description stored in</w:t>
      </w:r>
      <w:r>
        <w:t xml:space="preserve"> </w:t>
      </w:r>
      <w:r>
        <w:rPr>
          <w:rStyle w:val="VerbatimChar"/>
        </w:rPr>
        <w:t xml:space="preserve">project_timeline.snippet</w:t>
      </w:r>
      <w:r>
        <w:t xml:space="preserve">; the full source section is retrievable through</w:t>
      </w:r>
      <w:r>
        <w:t xml:space="preserve"> </w:t>
      </w:r>
      <w:r>
        <w:rPr>
          <w:rStyle w:val="VerbatimChar"/>
        </w:rPr>
        <w:t xml:space="preserve">project_mentions.section_id</w:t>
      </w:r>
      <w:r>
        <w:t xml:space="preserve">. Amounts are shown only for mentions that cite one.</w:t>
      </w:r>
    </w:p>
    <w:bookmarkEnd w:id="61"/>
    <w:bookmarkStart w:id="62" w:name="X2d44232fc02a7c1c5cddf75bca27c1ee06ecf90"/>
    <w:p>
      <w:pPr>
        <w:pStyle w:val="Heading2"/>
      </w:pPr>
      <w:r>
        <w:t xml:space="preserve">7.5 Knowledge graph and research-ready exports</w:t>
      </w:r>
    </w:p>
    <w:p>
      <w:pPr>
        <w:pStyle w:val="FirstParagraph"/>
      </w:pPr>
      <w:r>
        <w:t xml:space="preserve">The resolved projects are projected into a graph of 183</w:t>
      </w:r>
      <w:r>
        <w:t xml:space="preserve">,</w:t>
      </w:r>
      <w:r>
        <w:t xml:space="preserve">472 nodes (2</w:t>
      </w:r>
      <w:r>
        <w:t xml:space="preserve">,</w:t>
      </w:r>
      <w:r>
        <w:t xml:space="preserve">492 companies, 121</w:t>
      </w:r>
      <w:r>
        <w:t xml:space="preserve">,</w:t>
      </w:r>
      <w:r>
        <w:t xml:space="preserve">099 projects, 14</w:t>
      </w:r>
      <w:r>
        <w:t xml:space="preserve">,</w:t>
      </w:r>
      <w:r>
        <w:t xml:space="preserve">508 locations, 8</w:t>
      </w:r>
      <w:r>
        <w:t xml:space="preserve">,</w:t>
      </w:r>
      <w:r>
        <w:t xml:space="preserve">551 technologies, 36</w:t>
      </w:r>
      <w:r>
        <w:t xml:space="preserve">,</w:t>
      </w:r>
      <w:r>
        <w:t xml:space="preserve">822 partners) and 204</w:t>
      </w:r>
      <w:r>
        <w:t xml:space="preserve">,</w:t>
      </w:r>
      <w:r>
        <w:t xml:space="preserve">456 edges (</w:t>
      </w:r>
      <w:r>
        <w:rPr>
          <w:rStyle w:val="VerbatimChar"/>
        </w:rPr>
        <w:t xml:space="preserve">owns</w:t>
      </w:r>
      <w:r>
        <w:t xml:space="preserve">,</w:t>
      </w:r>
      <w:r>
        <w:t xml:space="preserve"> </w:t>
      </w:r>
      <w:r>
        <w:rPr>
          <w:rStyle w:val="VerbatimChar"/>
        </w:rPr>
        <w:t xml:space="preserve">located_in</w:t>
      </w:r>
      <w:r>
        <w:t xml:space="preserve">,</w:t>
      </w:r>
      <w:r>
        <w:t xml:space="preserve"> </w:t>
      </w:r>
      <w:r>
        <w:rPr>
          <w:rStyle w:val="VerbatimChar"/>
        </w:rPr>
        <w:t xml:space="preserve">uses</w:t>
      </w:r>
      <w:r>
        <w:t xml:space="preserve">; Table 17 in the appendix); partner nodes are currently created without edges, a known gap. Each project also has a 384-dimensional sentence embedding of its name, type, description and technologies, which supports semantic search through the companion web application. Alongside the project layer, the corpus layer publishes the firm-year and firm-quarter panels of thematic factor scores (32</w:t>
      </w:r>
      <w:r>
        <w:t xml:space="preserve">,</w:t>
      </w:r>
      <w:r>
        <w:t xml:space="preserve">852 and 128</w:t>
      </w:r>
      <w:r>
        <w:t xml:space="preserve">,</w:t>
      </w:r>
      <w:r>
        <w:t xml:space="preserve">043 rows) used in earlier UQO work on AI disclosure, now covering the full universe.</w:t>
      </w:r>
    </w:p>
    <w:bookmarkEnd w:id="62"/>
    <w:bookmarkEnd w:id="63"/>
    <w:bookmarkStart w:id="72" w:name="validation-framework-and-current-audit"/>
    <w:p>
      <w:pPr>
        <w:pStyle w:val="Heading1"/>
      </w:pPr>
      <w:r>
        <w:t xml:space="preserve">8 Validation Framework and Current Audit</w:t>
      </w:r>
    </w:p>
    <w:p>
      <w:pPr>
        <w:pStyle w:val="FirstParagraph"/>
      </w:pPr>
      <w:r>
        <w:t xml:space="preserve">The aim of identifying</w:t>
      </w:r>
      <w:r>
        <w:t xml:space="preserve"> </w:t>
      </w:r>
      <w:r>
        <w:t xml:space="preserve">“all projects”</w:t>
      </w:r>
      <w:r>
        <w:t xml:space="preserve"> </w:t>
      </w:r>
      <w:r>
        <w:t xml:space="preserve">of an issuer is a</w:t>
      </w:r>
      <w:r>
        <w:t xml:space="preserve"> </w:t>
      </w:r>
      <w:r>
        <w:rPr>
          <w:i/>
          <w:iCs/>
        </w:rPr>
        <w:t xml:space="preserve">coverage target</w:t>
      </w:r>
      <w:r>
        <w:t xml:space="preserve">, not an assumption. Only projects that appear in the captured sources, survive parsing and gating, are recognized by the model and are correctly linked are observable, and each of these steps loses or distorts some. This section specifies how those losses are to be measured and reports what has been measured so far. The headline is simple: the</w:t>
      </w:r>
      <w:r>
        <w:t xml:space="preserve"> </w:t>
      </w:r>
      <w:r>
        <w:rPr>
          <w:i/>
          <w:iCs/>
        </w:rPr>
        <w:t xml:space="preserve">coverage</w:t>
      </w:r>
      <w:r>
        <w:t xml:space="preserve"> </w:t>
      </w:r>
      <w:r>
        <w:t xml:space="preserve">and</w:t>
      </w:r>
      <w:r>
        <w:t xml:space="preserve"> </w:t>
      </w:r>
      <w:r>
        <w:rPr>
          <w:i/>
          <w:iCs/>
        </w:rPr>
        <w:t xml:space="preserve">integrity</w:t>
      </w:r>
      <w:r>
        <w:t xml:space="preserve"> </w:t>
      </w:r>
      <w:r>
        <w:t xml:space="preserve">components are implemented and quantified; the</w:t>
      </w:r>
      <w:r>
        <w:t xml:space="preserve"> </w:t>
      </w:r>
      <w:r>
        <w:rPr>
          <w:i/>
          <w:iCs/>
        </w:rPr>
        <w:t xml:space="preserve">accuracy</w:t>
      </w:r>
      <w:r>
        <w:t xml:space="preserve"> </w:t>
      </w:r>
      <w:r>
        <w:t xml:space="preserve">components—which require independent human labels—are specified but not yet executed. Table 10 summarizes the status of the acceptance gates.</w:t>
      </w:r>
    </w:p>
    <w:bookmarkStart w:id="64" w:name="Xe8d4983f553cc5d39b51da7627bf99172847997"/>
    <w:p>
      <w:pPr>
        <w:pStyle w:val="Heading2"/>
      </w:pPr>
      <w:r>
        <w:t xml:space="preserve">8.1 Coverage and integrity checks (implemented)</w:t>
      </w:r>
    </w:p>
    <w:p>
      <w:pPr>
        <w:numPr>
          <w:ilvl w:val="0"/>
          <w:numId w:val="1004"/>
        </w:numPr>
      </w:pPr>
      <w:r>
        <w:rPr>
          <w:b/>
          <w:bCs/>
        </w:rPr>
        <w:t xml:space="preserve">Universe reconciliation</w:t>
      </w:r>
      <w:r>
        <w:t xml:space="preserve"> </w:t>
      </w:r>
      <w:r>
        <w:t xml:space="preserve">(Table 1): every input line of the Russell proxy is accounted for as matched, dropped-as-non-company, or unmatched; the 65 issuers without filings are listed by name and reason.</w:t>
      </w:r>
    </w:p>
    <w:p>
      <w:pPr>
        <w:numPr>
          <w:ilvl w:val="0"/>
          <w:numId w:val="1004"/>
        </w:numPr>
      </w:pPr>
      <w:r>
        <w:rPr>
          <w:b/>
          <w:bCs/>
        </w:rPr>
        <w:t xml:space="preserve">Acquisition completeness:</w:t>
      </w:r>
      <w:r>
        <w:t xml:space="preserve"> </w:t>
      </w:r>
      <w:r>
        <w:t xml:space="preserve">for every issuer the SEC submissions index is enumerated in full (recent block and archive blocks) and every retained filing is logged; download failures are counted per issuer and were zero in the final run. Filing counts by form and year are published (Table 14).</w:t>
      </w:r>
    </w:p>
    <w:p>
      <w:pPr>
        <w:numPr>
          <w:ilvl w:val="0"/>
          <w:numId w:val="1004"/>
        </w:numPr>
      </w:pPr>
      <w:r>
        <w:rPr>
          <w:b/>
          <w:bCs/>
        </w:rPr>
        <w:t xml:space="preserve">Parsing coverage:</w:t>
      </w:r>
      <w:r>
        <w:t xml:space="preserve"> </w:t>
      </w:r>
      <w:r>
        <w:t xml:space="preserve">16 of 527</w:t>
      </w:r>
      <w:r>
        <w:t xml:space="preserve">,</w:t>
      </w:r>
      <w:r>
        <w:t xml:space="preserve">548 primary documents could not be parsed (Table 2); filings without recognizable Item headings are kept as a single section rather than dropped.</w:t>
      </w:r>
    </w:p>
    <w:p>
      <w:pPr>
        <w:numPr>
          <w:ilvl w:val="0"/>
          <w:numId w:val="1004"/>
        </w:numPr>
      </w:pPr>
      <w:r>
        <w:rPr>
          <w:b/>
          <w:bCs/>
        </w:rPr>
        <w:t xml:space="preserve">Extraction ledger:</w:t>
      </w:r>
      <w:r>
        <w:t xml:space="preserve"> </w:t>
      </w:r>
      <w:r>
        <w:t xml:space="preserve">every section submitted to the model is recorded; the ledger was audited after the credit-exhaustion incident and all sections processed during the outage were re-submitted. The ledger does not yet record a per-call status, so an undetected API failure would still appear as</w:t>
      </w:r>
      <w:r>
        <w:t xml:space="preserve"> </w:t>
      </w:r>
      <w:r>
        <w:t xml:space="preserve">“no project”</w:t>
      </w:r>
      <w:r>
        <w:t xml:space="preserve">; the run logs (retried errors, JSON parse failures: five in the June run, one in the October run) are the only current evidence that such failures were rare.</w:t>
      </w:r>
    </w:p>
    <w:p>
      <w:pPr>
        <w:numPr>
          <w:ilvl w:val="0"/>
          <w:numId w:val="1004"/>
        </w:numPr>
      </w:pPr>
      <w:r>
        <w:rPr>
          <w:b/>
          <w:bCs/>
        </w:rPr>
        <w:t xml:space="preserve">Referential integrity:</w:t>
      </w:r>
      <w:r>
        <w:t xml:space="preserve"> </w:t>
      </w:r>
      <w:r>
        <w:t xml:space="preserve">foreign keys from chunks to sections to filings to companies are enforced by the database; the merge of ten shards is append-only on globally unique keys and was checked for duplicate accession numbers and section identifiers (none).</w:t>
      </w:r>
    </w:p>
    <w:p>
      <w:pPr>
        <w:numPr>
          <w:ilvl w:val="0"/>
          <w:numId w:val="1004"/>
        </w:numPr>
      </w:pPr>
      <w:r>
        <w:rPr>
          <w:b/>
          <w:bCs/>
        </w:rPr>
        <w:t xml:space="preserve">Reproducibility of exhibits:</w:t>
      </w:r>
      <w:r>
        <w:t xml:space="preserve"> </w:t>
      </w:r>
      <w:r>
        <w:t xml:space="preserve">every table and figure of this paper is regenerated from the databases by two scripts in</w:t>
      </w:r>
      <w:r>
        <w:t xml:space="preserve"> </w:t>
      </w:r>
      <w:r>
        <w:rPr>
          <w:rStyle w:val="VerbatimChar"/>
        </w:rPr>
        <w:t xml:space="preserve">code/</w:t>
      </w:r>
      <w:r>
        <w:t xml:space="preserve">; the numbers can be compared against</w:t>
      </w:r>
      <w:r>
        <w:t xml:space="preserve"> </w:t>
      </w:r>
      <w:r>
        <w:rPr>
          <w:rStyle w:val="VerbatimChar"/>
        </w:rPr>
        <w:t xml:space="preserve">data/stats.json</w:t>
      </w:r>
      <w:r>
        <w:t xml:space="preserve">.</w:t>
      </w:r>
    </w:p>
    <w:bookmarkEnd w:id="64"/>
    <w:bookmarkStart w:id="70" w:name="X04e97e81ccc8a1536b8f1159f69fe912b1c6d60"/>
    <w:p>
      <w:pPr>
        <w:pStyle w:val="Heading2"/>
      </w:pPr>
      <w:r>
        <w:t xml:space="preserve">8.2 Accuracy evaluation (specified, not executed)</w:t>
      </w:r>
    </w:p>
    <w:bookmarkStart w:id="65" w:name="gold-standard."/>
    <w:p>
      <w:pPr>
        <w:pStyle w:val="Heading4"/>
      </w:pPr>
      <w:r>
        <w:t xml:space="preserve">Gold standard.</w:t>
      </w:r>
    </w:p>
    <w:p>
      <w:pPr>
        <w:pStyle w:val="FirstParagraph"/>
      </w:pPr>
      <w:r>
        <w:t xml:space="preserve">A stratified sample of sections will be drawn from the ledger with strata defined by form (10-K, 10-Q, 8-K), item, issuer size (fund weight tercile), sector, filing year (2010–2014, 2015–2019, 2020–2026) and disclosure length. The sample will include sections that produced mentions and, in equal number, randomly selected sections that produced none, so that both false positives and false negatives can be estimated. Two annotators will independently code each section: for each initiative present, its name, category (from the 21-code taxonomy), status, cited years, location, partners, amount and amount type, plus the five-way label of Section 5 (project, generic strategy, third-party, uncertain, none). Disagreements will be adjudicated by the third team member; inter-annotator agreement (Cohen’s</w:t>
      </w:r>
      <w:r>
        <w:t xml:space="preserve"> </w:t>
      </w:r>
      <m:oMath>
        <m:r>
          <m:t>κ</m:t>
        </m:r>
      </m:oMath>
      <w:r>
        <w:t xml:space="preserve"> </w:t>
      </w:r>
      <w:r>
        <w:t xml:space="preserve">for presence and category, exact-match rates for fields) will be reported. The sample will be split into a development half, on which prompt and threshold changes may be tuned, and a locked holdout half, used once per release.</w:t>
      </w:r>
    </w:p>
    <w:bookmarkEnd w:id="65"/>
    <w:bookmarkStart w:id="66" w:name="metrics."/>
    <w:p>
      <w:pPr>
        <w:pStyle w:val="Heading4"/>
      </w:pPr>
      <w:r>
        <w:t xml:space="preserve">Metrics.</w:t>
      </w:r>
    </w:p>
    <w:p>
      <w:pPr>
        <w:pStyle w:val="FirstParagraph"/>
      </w:pPr>
      <w:r>
        <w:t xml:space="preserve">On the holdout: candidate-gate recall (share of annotated projects whose section passed the gate); project-detection precision, recall and F1 at the mention level; category macro- and micro-F1; field accuracy for amount, years and location; the abstention rate (sections where the model returned an empty list) conditional on annotated content; and confidence calibration (precision by confidence bin, with bootstrap intervals). The same metrics will be computed for the rule-based extractor and, if budget allows, for a semantic-retrieval baseline, so that the marginal value of the LLM step is documented.</w:t>
      </w:r>
    </w:p>
    <w:bookmarkEnd w:id="66"/>
    <w:bookmarkStart w:id="67" w:name="linkage-audit."/>
    <w:p>
      <w:pPr>
        <w:pStyle w:val="Heading4"/>
      </w:pPr>
      <w:r>
        <w:t xml:space="preserve">Linkage audit.</w:t>
      </w:r>
    </w:p>
    <w:p>
      <w:pPr>
        <w:pStyle w:val="FirstParagraph"/>
      </w:pPr>
      <w:r>
        <w:t xml:space="preserve">From the resolved projects, a sample stratified by number of mentions (1, 2–5, 6–10, more than 10) and by category will be reviewed to label each project cluster as correct, over-merged (contains distinct initiatives) or under-merged (a duplicate of another cluster of the same issuer). Link precision and recall and the error costs of false merges versus missed links will be reported, with particular attention to long-running programs, subsidiaries and near-duplicate names.</w:t>
      </w:r>
    </w:p>
    <w:bookmarkEnd w:id="67"/>
    <w:bookmarkStart w:id="68" w:name="temporal-test."/>
    <w:p>
      <w:pPr>
        <w:pStyle w:val="Heading4"/>
      </w:pPr>
      <w:r>
        <w:t xml:space="preserve">Temporal test.</w:t>
      </w:r>
    </w:p>
    <w:p>
      <w:pPr>
        <w:pStyle w:val="FirstParagraph"/>
      </w:pPr>
      <w:r>
        <w:t xml:space="preserve">For a sample of projects with at least three mentions, the status and amount reconstructed using only mentions filed on or before each date will be compared with the full-information values, to verify that no later information leaks into earlier states and to document how often status reverses.</w:t>
      </w:r>
    </w:p>
    <w:bookmarkEnd w:id="68"/>
    <w:bookmarkStart w:id="69" w:name="missingness."/>
    <w:p>
      <w:pPr>
        <w:pStyle w:val="Heading4"/>
      </w:pPr>
      <w:r>
        <w:t xml:space="preserve">Missingness.</w:t>
      </w:r>
    </w:p>
    <w:p>
      <w:pPr>
        <w:pStyle w:val="FirstParagraph"/>
      </w:pPr>
      <w:r>
        <w:t xml:space="preserve">Zero-project issuer-years will be cross-tabulated by sector, size and filing count to distinguish</w:t>
      </w:r>
      <w:r>
        <w:t xml:space="preserve"> </w:t>
      </w:r>
      <w:r>
        <w:t xml:space="preserve">“no disclosure”</w:t>
      </w:r>
      <w:r>
        <w:t xml:space="preserve"> </w:t>
      </w:r>
      <w:r>
        <w:t xml:space="preserve">from</w:t>
      </w:r>
      <w:r>
        <w:t xml:space="preserve"> </w:t>
      </w:r>
      <w:r>
        <w:t xml:space="preserve">“not processed”</w:t>
      </w:r>
      <w:r>
        <w:t xml:space="preserve">; the former is informative, the latter is a data gap, and the</w:t>
      </w:r>
      <w:r>
        <w:t xml:space="preserve"> </w:t>
      </w:r>
      <w:r>
        <w:rPr>
          <w:rStyle w:val="VerbatimChar"/>
        </w:rPr>
        <w:t xml:space="preserve">coverage_status</w:t>
      </w:r>
      <w:r>
        <w:t xml:space="preserve"> </w:t>
      </w:r>
      <w:r>
        <w:t xml:space="preserve">field (complete for the defined scope, partial, failed, not observed) proposed for the issuer-year export will carry that distinction.</w:t>
      </w:r>
    </w:p>
    <w:bookmarkEnd w:id="69"/>
    <w:bookmarkEnd w:id="70"/>
    <w:bookmarkStart w:id="71" w:name="acceptance-gates"/>
    <w:p>
      <w:pPr>
        <w:pStyle w:val="Heading2"/>
      </w:pPr>
      <w:r>
        <w:t xml:space="preserve">8.3 Acceptance gates</w:t>
      </w:r>
    </w:p>
    <w:p>
      <w:pPr>
        <w:pStyle w:val="TableCaption"/>
      </w:pPr>
      <w:r>
        <w:t xml:space="preserve">Table 10: Acceptance gates for a research-ready release and their status at revision</w:t>
      </w:r>
      <w:r>
        <w:t xml:space="preserve"> </w:t>
      </w:r>
      <w:r>
        <w:rPr>
          <w:rStyle w:val="VerbatimChar"/>
        </w:rPr>
        <w:t xml:space="preserve">2324b58</w:t>
      </w:r>
    </w:p>
    <w:tbl>
      <w:tblPr>
        <w:tblStyle w:val="Table"/>
        <w:tblW w:type="auto" w:w="0"/>
        <w:tblLook w:firstRow="1" w:lastRow="0" w:firstColumn="0" w:lastColumn="0" w:noHBand="0" w:noVBand="0" w:val="0020"/>
        <w:tblCaption w:val="Table 10: Acceptance gates for a research-ready release and their status at revision 2324b58"/>
      </w:tblPr>
      <w:tblGrid>
        <w:gridCol w:w="2640"/>
        <w:gridCol w:w="2640"/>
        <w:gridCol w:w="2640"/>
      </w:tblGrid>
      <w:tr>
        <w:trPr>
          <w:tblHeader w:val="on"/>
        </w:trPr>
        <w:tc>
          <w:tcPr/>
          <w:p>
            <w:pPr>
              <w:pStyle w:val="Compact"/>
              <w:jc w:val="left"/>
            </w:pPr>
            <w:r>
              <w:t xml:space="preserve">Gate</w:t>
            </w:r>
          </w:p>
        </w:tc>
        <w:tc>
          <w:tcPr/>
          <w:p>
            <w:pPr>
              <w:pStyle w:val="Compact"/>
              <w:jc w:val="left"/>
            </w:pPr>
            <w:r>
              <w:t xml:space="preserve">Requirement</w:t>
            </w:r>
          </w:p>
        </w:tc>
        <w:tc>
          <w:tcPr/>
          <w:p>
            <w:pPr>
              <w:pStyle w:val="Compact"/>
              <w:jc w:val="left"/>
            </w:pPr>
            <w:r>
              <w:t xml:space="preserve">Status</w:t>
            </w:r>
          </w:p>
        </w:tc>
      </w:tr>
      <w:tr>
        <w:tc>
          <w:tcPr/>
          <w:p>
            <w:pPr>
              <w:pStyle w:val="Compact"/>
              <w:jc w:val="left"/>
            </w:pPr>
            <w:r>
              <w:t xml:space="preserve">(a)</w:t>
            </w:r>
          </w:p>
        </w:tc>
        <w:tc>
          <w:tcPr/>
          <w:p>
            <w:pPr>
              <w:pStyle w:val="Compact"/>
              <w:jc w:val="left"/>
            </w:pPr>
            <w:r>
              <w:t xml:space="preserve">Target issuer universe and time window frozen and auditable</w:t>
            </w:r>
          </w:p>
        </w:tc>
        <w:tc>
          <w:tcPr/>
          <w:p>
            <w:pPr>
              <w:pStyle w:val="Compact"/>
              <w:jc w:val="left"/>
            </w:pPr>
            <w:r>
              <w:t xml:space="preserve">Met (snapshot design; file hashes pending)</w:t>
            </w:r>
          </w:p>
        </w:tc>
      </w:tr>
      <w:tr>
        <w:tc>
          <w:tcPr/>
          <w:p>
            <w:pPr>
              <w:pStyle w:val="Compact"/>
              <w:jc w:val="left"/>
            </w:pPr>
            <w:r>
              <w:t xml:space="preserve">(b)</w:t>
            </w:r>
          </w:p>
        </w:tc>
        <w:tc>
          <w:tcPr/>
          <w:p>
            <w:pPr>
              <w:pStyle w:val="Compact"/>
              <w:jc w:val="left"/>
            </w:pPr>
            <w:r>
              <w:t xml:space="preserve">Every published project links to at least one verifiable primary-source passage</w:t>
            </w:r>
          </w:p>
        </w:tc>
        <w:tc>
          <w:tcPr/>
          <w:p>
            <w:pPr>
              <w:pStyle w:val="Compact"/>
              <w:jc w:val="left"/>
            </w:pPr>
            <w:r>
              <w:t xml:space="preserve">Met at section level; character spans not stored</w:t>
            </w:r>
          </w:p>
        </w:tc>
      </w:tr>
      <w:tr>
        <w:tc>
          <w:tcPr/>
          <w:p>
            <w:pPr>
              <w:pStyle w:val="Compact"/>
              <w:jc w:val="left"/>
            </w:pPr>
            <w:r>
              <w:t xml:space="preserve">(c)</w:t>
            </w:r>
          </w:p>
        </w:tc>
        <w:tc>
          <w:tcPr/>
          <w:p>
            <w:pPr>
              <w:pStyle w:val="Compact"/>
              <w:jc w:val="left"/>
            </w:pPr>
            <w:r>
              <w:t xml:space="preserve">Duplicate, temporal and amount rules documented and tested</w:t>
            </w:r>
          </w:p>
        </w:tc>
        <w:tc>
          <w:tcPr/>
          <w:p>
            <w:pPr>
              <w:pStyle w:val="Compact"/>
              <w:jc w:val="left"/>
            </w:pPr>
            <w:r>
              <w:t xml:space="preserve">Documented; unit tests partial; no event or amount-type tables</w:t>
            </w:r>
          </w:p>
        </w:tc>
      </w:tr>
      <w:tr>
        <w:tc>
          <w:tcPr/>
          <w:p>
            <w:pPr>
              <w:pStyle w:val="Compact"/>
              <w:jc w:val="left"/>
            </w:pPr>
            <w:r>
              <w:t xml:space="preserve">(d)</w:t>
            </w:r>
          </w:p>
        </w:tc>
        <w:tc>
          <w:tcPr/>
          <w:p>
            <w:pPr>
              <w:pStyle w:val="Compact"/>
              <w:jc w:val="left"/>
            </w:pPr>
            <w:r>
              <w:t xml:space="preserve">Extraction and matching accuracy evaluated on independent human labels</w:t>
            </w:r>
          </w:p>
        </w:tc>
        <w:tc>
          <w:tcPr/>
          <w:p>
            <w:pPr>
              <w:pStyle w:val="Compact"/>
              <w:jc w:val="left"/>
            </w:pPr>
            <w:r>
              <w:t xml:space="preserve">Not met (protocol specified)</w:t>
            </w:r>
          </w:p>
        </w:tc>
      </w:tr>
      <w:tr>
        <w:tc>
          <w:tcPr/>
          <w:p>
            <w:pPr>
              <w:pStyle w:val="Compact"/>
              <w:jc w:val="left"/>
            </w:pPr>
            <w:r>
              <w:t xml:space="preserve">(e)</w:t>
            </w:r>
          </w:p>
        </w:tc>
        <w:tc>
          <w:tcPr/>
          <w:p>
            <w:pPr>
              <w:pStyle w:val="Compact"/>
              <w:jc w:val="left"/>
            </w:pPr>
            <w:r>
              <w:t xml:space="preserve">Issuer/form/year coverage and failures quantified</w:t>
            </w:r>
          </w:p>
        </w:tc>
        <w:tc>
          <w:tcPr/>
          <w:p>
            <w:pPr>
              <w:pStyle w:val="Compact"/>
              <w:jc w:val="left"/>
            </w:pPr>
            <w:r>
              <w:t xml:space="preserve">Met</w:t>
            </w:r>
          </w:p>
        </w:tc>
      </w:tr>
      <w:tr>
        <w:tc>
          <w:tcPr/>
          <w:p>
            <w:pPr>
              <w:pStyle w:val="Compact"/>
              <w:jc w:val="left"/>
            </w:pPr>
            <w:r>
              <w:t xml:space="preserve">(f)</w:t>
            </w:r>
          </w:p>
        </w:tc>
        <w:tc>
          <w:tcPr/>
          <w:p>
            <w:pPr>
              <w:pStyle w:val="Compact"/>
              <w:jc w:val="left"/>
            </w:pPr>
            <w:r>
              <w:t xml:space="preserve">Every empirical result regenerable from a pinned build</w:t>
            </w:r>
          </w:p>
        </w:tc>
        <w:tc>
          <w:tcPr/>
          <w:p>
            <w:pPr>
              <w:pStyle w:val="Compact"/>
              <w:jc w:val="left"/>
            </w:pPr>
            <w:r>
              <w:t xml:space="preserve">Met for this paper (</w:t>
            </w:r>
            <w:r>
              <w:rPr>
                <w:rStyle w:val="VerbatimChar"/>
              </w:rPr>
              <w:t xml:space="preserve">code/</w:t>
            </w:r>
            <w:r>
              <w:t xml:space="preserve">, revision</w:t>
            </w:r>
            <w:r>
              <w:t xml:space="preserve"> </w:t>
            </w:r>
            <w:r>
              <w:rPr>
                <w:rStyle w:val="VerbatimChar"/>
              </w:rPr>
              <w:t xml:space="preserve">2324b58</w:t>
            </w:r>
            <w:r>
              <w:t xml:space="preserve">)</w:t>
            </w:r>
          </w:p>
        </w:tc>
      </w:tr>
      <w:tr>
        <w:tc>
          <w:tcPr/>
          <w:p>
            <w:pPr>
              <w:pStyle w:val="Compact"/>
              <w:jc w:val="left"/>
            </w:pPr>
            <w:r>
              <w:t xml:space="preserve">(g)</w:t>
            </w:r>
          </w:p>
        </w:tc>
        <w:tc>
          <w:tcPr/>
          <w:p>
            <w:pPr>
              <w:pStyle w:val="Compact"/>
              <w:jc w:val="left"/>
            </w:pPr>
            <w:r>
              <w:t xml:space="preserve">All coauthors have reviewed scientific claims and authorship</w:t>
            </w:r>
          </w:p>
        </w:tc>
        <w:tc>
          <w:tcPr/>
          <w:p>
            <w:pPr>
              <w:pStyle w:val="Compact"/>
              <w:jc w:val="left"/>
            </w:pPr>
            <w:r>
              <w:t xml:space="preserve">Pending</w:t>
            </w:r>
          </w:p>
        </w:tc>
      </w:tr>
    </w:tbl>
    <w:p>
      <w:pPr>
        <w:pStyle w:val="BodyText"/>
      </w:pPr>
      <w:r>
        <w:t xml:space="preserve">Until gates (c), (d) and (g) are met, the database is a</w:t>
      </w:r>
      <w:r>
        <w:t xml:space="preserve"> </w:t>
      </w:r>
      <w:r>
        <w:rPr>
          <w:i/>
          <w:iCs/>
        </w:rPr>
        <w:t xml:space="preserve">research database under validation</w:t>
      </w:r>
      <w:r>
        <w:t xml:space="preserve">, and any use of its counts or amounts in empirical work should treat extraction and linkage error as measurement error of unknown magnitude.</w:t>
      </w:r>
    </w:p>
    <w:bookmarkEnd w:id="71"/>
    <w:bookmarkEnd w:id="72"/>
    <w:bookmarkStart w:id="79" w:name="X6b3e76bd80fd2ffba10920143de46caf96dc0e4"/>
    <w:p>
      <w:pPr>
        <w:pStyle w:val="Heading1"/>
      </w:pPr>
      <w:r>
        <w:t xml:space="preserve">9 Research Applications and Identification Limits</w:t>
      </w:r>
    </w:p>
    <w:bookmarkStart w:id="77" w:name="what-the-database-can-support"/>
    <w:p>
      <w:pPr>
        <w:pStyle w:val="Heading2"/>
      </w:pPr>
      <w:r>
        <w:t xml:space="preserve">9.1 What the database can support</w:t>
      </w:r>
    </w:p>
    <w:p>
      <w:pPr>
        <w:pStyle w:val="FirstParagraph"/>
      </w:pPr>
      <w:r>
        <w:t xml:space="preserve">Four families of empirical designs are natural once the validation gates are passed; each is listed with the restriction it must respect.</w:t>
      </w:r>
    </w:p>
    <w:bookmarkStart w:id="73" w:name="X9351c06ac87e4a6d62bd369c45256badda46472"/>
    <w:p>
      <w:pPr>
        <w:pStyle w:val="Heading4"/>
      </w:pPr>
      <w:r>
        <w:t xml:space="preserve">Project counts and composition as firm-year variables.</w:t>
      </w:r>
    </w:p>
    <w:p>
      <w:pPr>
        <w:pStyle w:val="FirstParagraph"/>
      </w:pPr>
      <w:r>
        <w:t xml:space="preserve">The issuer-year count of newly observed projects, by category, is a text-derived measure of disclosed strategic activity comparable in spirit to the thematic scores of the factor layer but with a discrete, interpretable unit. Because the panel is a snapshot universe, firm fixed effects and within-firm comparisons are safer than cross-sectional levels, and the later entry of smaller issuers (Figure 1) should be modeled explicitly.</w:t>
      </w:r>
    </w:p>
    <w:bookmarkEnd w:id="73"/>
    <w:bookmarkStart w:id="74" w:name="technology-adoption-and-diffusion."/>
    <w:p>
      <w:pPr>
        <w:pStyle w:val="Heading4"/>
      </w:pPr>
      <w:r>
        <w:t xml:space="preserve">Technology adoption and diffusion.</w:t>
      </w:r>
    </w:p>
    <w:p>
      <w:pPr>
        <w:pStyle w:val="FirstParagraph"/>
      </w:pPr>
      <w:r>
        <w:t xml:space="preserve">The</w:t>
      </w:r>
      <w:r>
        <w:t xml:space="preserve"> </w:t>
      </w:r>
      <w:r>
        <w:rPr>
          <w:rStyle w:val="VerbatimChar"/>
        </w:rPr>
        <w:t xml:space="preserve">technologies</w:t>
      </w:r>
      <w:r>
        <w:t xml:space="preserve"> </w:t>
      </w:r>
      <w:r>
        <w:t xml:space="preserve">field and the categories</w:t>
      </w:r>
      <w:r>
        <w:t xml:space="preserve"> </w:t>
      </w:r>
      <w:r>
        <w:rPr>
          <w:rStyle w:val="VerbatimChar"/>
        </w:rPr>
        <w:t xml:space="preserve">ai_initiative</w:t>
      </w:r>
      <w:r>
        <w:t xml:space="preserve">,</w:t>
      </w:r>
      <w:r>
        <w:t xml:space="preserve"> </w:t>
      </w:r>
      <w:r>
        <w:rPr>
          <w:rStyle w:val="VerbatimChar"/>
        </w:rPr>
        <w:t xml:space="preserve">data_center</w:t>
      </w:r>
      <w:r>
        <w:t xml:space="preserve">,</w:t>
      </w:r>
      <w:r>
        <w:t xml:space="preserve"> </w:t>
      </w:r>
      <w:r>
        <w:rPr>
          <w:rStyle w:val="VerbatimChar"/>
        </w:rPr>
        <w:t xml:space="preserve">cloud_migration</w:t>
      </w:r>
      <w:r>
        <w:t xml:space="preserve">,</w:t>
      </w:r>
      <w:r>
        <w:t xml:space="preserve"> </w:t>
      </w:r>
      <w:r>
        <w:rPr>
          <w:rStyle w:val="VerbatimChar"/>
        </w:rPr>
        <w:t xml:space="preserve">automation</w:t>
      </w:r>
      <w:r>
        <w:t xml:space="preserve"> </w:t>
      </w:r>
      <w:r>
        <w:t xml:space="preserve">and</w:t>
      </w:r>
      <w:r>
        <w:t xml:space="preserve"> </w:t>
      </w:r>
      <w:r>
        <w:rPr>
          <w:rStyle w:val="VerbatimChar"/>
        </w:rPr>
        <w:t xml:space="preserve">erp_implementation</w:t>
      </w:r>
      <w:r>
        <w:t xml:space="preserve"> </w:t>
      </w:r>
      <w:r>
        <w:t xml:space="preserve">allow the first-mention date of a technology to be located by issuer, sector and location, in the spirit of</w:t>
      </w:r>
      <w:r>
        <w:t xml:space="preserve"> </w:t>
      </w:r>
      <w:r>
        <w:t xml:space="preserve">Bloom et al. (2021)</w:t>
      </w:r>
      <w:r>
        <w:t xml:space="preserve"> </w:t>
      </w:r>
      <w:r>
        <w:t xml:space="preserve">but from the issuer’s own regulatory narrative. The small counts of these categories (a few hundred projects each) and the fact that technologies are free-text tags rather than a controlled vocabulary limit precision; a mapping of tags to a vocabulary is part of the proposed ontology work.</w:t>
      </w:r>
    </w:p>
    <w:bookmarkEnd w:id="74"/>
    <w:bookmarkStart w:id="75" w:name="event-studies."/>
    <w:p>
      <w:pPr>
        <w:pStyle w:val="Heading4"/>
      </w:pPr>
      <w:r>
        <w:t xml:space="preserve">Event studies.</w:t>
      </w:r>
    </w:p>
    <w:p>
      <w:pPr>
        <w:pStyle w:val="FirstParagraph"/>
      </w:pPr>
      <w:r>
        <w:t xml:space="preserve">Mentions in 8-K filings are dated to the day and are the closest the database comes to an announcement date (74</w:t>
      </w:r>
      <w:r>
        <w:t xml:space="preserve">,</w:t>
      </w:r>
      <w:r>
        <w:t xml:space="preserve">594 mentions). Because the primary document of an 8-K often refers to a press release filed as an exhibit that the pipeline does not read, the first</w:t>
      </w:r>
      <w:r>
        <w:t xml:space="preserve"> </w:t>
      </w:r>
      <w:r>
        <w:rPr>
          <w:i/>
          <w:iCs/>
        </w:rPr>
        <w:t xml:space="preserve">public</w:t>
      </w:r>
      <w:r>
        <w:t xml:space="preserve"> </w:t>
      </w:r>
      <w:r>
        <w:t xml:space="preserve">announcement may precede the first mention in the corpus; event dates should be verified against the exhibit or the newswire before use.</w:t>
      </w:r>
    </w:p>
    <w:bookmarkEnd w:id="75"/>
    <w:bookmarkStart w:id="76" w:name="project-level-panels."/>
    <w:p>
      <w:pPr>
        <w:pStyle w:val="Heading4"/>
      </w:pPr>
      <w:r>
        <w:t xml:space="preserve">Project-level panels.</w:t>
      </w:r>
    </w:p>
    <w:p>
      <w:pPr>
        <w:pStyle w:val="FirstParagraph"/>
      </w:pPr>
      <w:r>
        <w:t xml:space="preserve">For projects with several mentions, the timeline provides a sequence of status and amount statements that can be used to study announcement-to-completion durations, budget revisions and abandonment, subject to the caveats on status (last statement, not terminal fate) and on merged phases.</w:t>
      </w:r>
    </w:p>
    <w:bookmarkEnd w:id="76"/>
    <w:bookmarkEnd w:id="77"/>
    <w:bookmarkStart w:id="78" w:name="identification-limits"/>
    <w:p>
      <w:pPr>
        <w:pStyle w:val="Heading2"/>
      </w:pPr>
      <w:r>
        <w:t xml:space="preserve">9.2 Identification limits</w:t>
      </w:r>
    </w:p>
    <w:p>
      <w:pPr>
        <w:numPr>
          <w:ilvl w:val="0"/>
          <w:numId w:val="1005"/>
        </w:numPr>
      </w:pPr>
      <w:r>
        <w:rPr>
          <w:b/>
          <w:bCs/>
        </w:rPr>
        <w:t xml:space="preserve">Disclosure, not activity.</w:t>
      </w:r>
      <w:r>
        <w:t xml:space="preserve"> </w:t>
      </w:r>
      <w:r>
        <w:t xml:space="preserve">The database measures what issuers chose to say in a regulated document. Disclosure thresholds, materiality judgments, boilerplate habits and litigation risk vary by firm, sector and time; a difference in project counts is a difference in disclosure before it is a difference in investment.</w:t>
      </w:r>
    </w:p>
    <w:p>
      <w:pPr>
        <w:numPr>
          <w:ilvl w:val="0"/>
          <w:numId w:val="1005"/>
        </w:numPr>
      </w:pPr>
      <w:r>
        <w:rPr>
          <w:b/>
          <w:bCs/>
        </w:rPr>
        <w:t xml:space="preserve">Snapshot universe.</w:t>
      </w:r>
      <w:r>
        <w:t xml:space="preserve"> </w:t>
      </w:r>
      <w:r>
        <w:t xml:space="preserve">Survivorship and backfilling are built in. Comparisons across years that mix cohorts of issuers confound activity with the composition of the observed panel.</w:t>
      </w:r>
    </w:p>
    <w:p>
      <w:pPr>
        <w:numPr>
          <w:ilvl w:val="0"/>
          <w:numId w:val="1005"/>
        </w:numPr>
      </w:pPr>
      <w:r>
        <w:rPr>
          <w:b/>
          <w:bCs/>
        </w:rPr>
        <w:t xml:space="preserve">Measurement error of unknown structure.</w:t>
      </w:r>
      <w:r>
        <w:t xml:space="preserve"> </w:t>
      </w:r>
      <w:r>
        <w:t xml:space="preserve">Until the human-coded evaluation is run, extraction precision and recall, category accuracy and linkage error are unknown. They are unlikely to be classical: boilerplate-heavy sectors and long MD&amp;As are more exposed to false positives and to truncation, respectively.</w:t>
      </w:r>
    </w:p>
    <w:p>
      <w:pPr>
        <w:numPr>
          <w:ilvl w:val="0"/>
          <w:numId w:val="1005"/>
        </w:numPr>
      </w:pPr>
      <w:r>
        <w:rPr>
          <w:b/>
          <w:bCs/>
        </w:rPr>
        <w:t xml:space="preserve">Amounts.</w:t>
      </w:r>
      <w:r>
        <w:t xml:space="preserve"> </w:t>
      </w:r>
      <w:r>
        <w:t xml:space="preserve">Disclosed amounts are heterogeneous in type and scope and are never realized expenditure; the project-level maximum is a reading convenience, not an estimate.</w:t>
      </w:r>
    </w:p>
    <w:p>
      <w:pPr>
        <w:numPr>
          <w:ilvl w:val="0"/>
          <w:numId w:val="1005"/>
        </w:numPr>
      </w:pPr>
      <w:r>
        <w:rPr>
          <w:b/>
          <w:bCs/>
        </w:rPr>
        <w:t xml:space="preserve">Descriptive versus causal.</w:t>
      </w:r>
      <w:r>
        <w:t xml:space="preserve"> </w:t>
      </w:r>
      <w:r>
        <w:t xml:space="preserve">Associations between project disclosures and outcomes (returns, investment, employment) identify the joint determination of disclosure and outcomes, not the effect of the project. Causal designs require a source of variation in the</w:t>
      </w:r>
      <w:r>
        <w:t xml:space="preserve"> </w:t>
      </w:r>
      <w:r>
        <w:rPr>
          <w:i/>
          <w:iCs/>
        </w:rPr>
        <w:t xml:space="preserve">project</w:t>
      </w:r>
      <w:r>
        <w:t xml:space="preserve"> </w:t>
      </w:r>
      <w:r>
        <w:t xml:space="preserve">that is orthogonal to the decision to</w:t>
      </w:r>
      <w:r>
        <w:t xml:space="preserve"> </w:t>
      </w:r>
      <w:r>
        <w:rPr>
          <w:i/>
          <w:iCs/>
        </w:rPr>
        <w:t xml:space="preserve">describe</w:t>
      </w:r>
      <w:r>
        <w:t xml:space="preserve"> </w:t>
      </w:r>
      <w:r>
        <w:t xml:space="preserve">it, and the database does not supply one.</w:t>
      </w:r>
    </w:p>
    <w:bookmarkEnd w:id="78"/>
    <w:bookmarkEnd w:id="79"/>
    <w:bookmarkStart w:id="83" w:name="X2bbdb8e6419b60184bc3210df3a296f89ccdc57"/>
    <w:p>
      <w:pPr>
        <w:pStyle w:val="Heading1"/>
      </w:pPr>
      <w:r>
        <w:t xml:space="preserve">10 Limitations, Reproducibility and Conclusion</w:t>
      </w:r>
    </w:p>
    <w:bookmarkStart w:id="80" w:name="limitations"/>
    <w:p>
      <w:pPr>
        <w:pStyle w:val="Heading2"/>
      </w:pPr>
      <w:r>
        <w:t xml:space="preserve">10.1 Limitations</w:t>
      </w:r>
    </w:p>
    <w:p>
      <w:pPr>
        <w:pStyle w:val="FirstParagraph"/>
      </w:pPr>
      <w:r>
        <w:t xml:space="preserve">Beyond the identification limits above, the current build has concrete technical limitations that bound its use. The issuer universe is a fund-holdings proxy at one date, not licensed Russell membership, and 65 of its issuers are outside the form scope. The parser stores section-level provenance but not character offsets into the raw HTML. The focus windows truncate long sections around lexical cues, so recall on annual reports is unknown and probably lower than on 8-Ks. The resolver is a deterministic key that both merges distinct phases and splits renamed initiatives, and the resulting project count is therefore an artifact of the key as much as a count of initiatives. Amounts carry no type and no realization flag. The 10-Q financial-statement and 8-K sections are read whole, while 10-K Items 3–6 and 8–9B are not read at all. And the ledger cannot yet distinguish an empty result from a failed call.</w:t>
      </w:r>
    </w:p>
    <w:bookmarkEnd w:id="80"/>
    <w:bookmarkStart w:id="81" w:name="reproducibility-ethics-and-terms"/>
    <w:p>
      <w:pPr>
        <w:pStyle w:val="Heading2"/>
      </w:pPr>
      <w:r>
        <w:t xml:space="preserve">10.2 Reproducibility, ethics and terms</w:t>
      </w:r>
    </w:p>
    <w:p>
      <w:pPr>
        <w:pStyle w:val="FirstParagraph"/>
      </w:pPr>
      <w:r>
        <w:t xml:space="preserve">The corpus layer and the project layer are reproducible from the Git repository at revision</w:t>
      </w:r>
      <w:r>
        <w:t xml:space="preserve"> </w:t>
      </w:r>
      <w:r>
        <w:rPr>
          <w:rStyle w:val="VerbatimChar"/>
        </w:rPr>
        <w:t xml:space="preserve">2324b58</w:t>
      </w:r>
      <w:r>
        <w:t xml:space="preserve">, the frozen universe artifact, the download logs and the extraction ledger; the paid extraction step is resumable and idempotent, and the complete run costs roughly 775 USD at October 2026 prices. All numbers in this paper are regenerated by</w:t>
      </w:r>
      <w:r>
        <w:t xml:space="preserve"> </w:t>
      </w:r>
      <w:r>
        <w:rPr>
          <w:rStyle w:val="VerbatimChar"/>
        </w:rPr>
        <w:t xml:space="preserve">code/export_stats.py</w:t>
      </w:r>
      <w:r>
        <w:t xml:space="preserve"> </w:t>
      </w:r>
      <w:r>
        <w:t xml:space="preserve">and</w:t>
      </w:r>
      <w:r>
        <w:t xml:space="preserve"> </w:t>
      </w:r>
      <w:r>
        <w:rPr>
          <w:rStyle w:val="VerbatimChar"/>
        </w:rPr>
        <w:t xml:space="preserve">code/make_tables.py</w:t>
      </w:r>
      <w:r>
        <w:t xml:space="preserve">. The raw filings are public documents retrieved under the SEC’s fair-access policy with an identified research client; they are not redistributed, and the repository contains no credentials and no private infrastructure details. Derived datasets (project-level, mention-level, issuer-year and event-time exports) will be released with sample restrictions and a data dictionary once gates (c), (d) and (g) are met. The database does not contain personal data; the only names it stores are those of corporations, places and technologies as they appear in public filings.</w:t>
      </w:r>
    </w:p>
    <w:bookmarkEnd w:id="81"/>
    <w:bookmarkStart w:id="82" w:name="conclusion"/>
    <w:p>
      <w:pPr>
        <w:pStyle w:val="Heading2"/>
      </w:pPr>
      <w:r>
        <w:t xml:space="preserve">10.3 Conclusion</w:t>
      </w:r>
    </w:p>
    <w:p>
      <w:pPr>
        <w:pStyle w:val="FirstParagraph"/>
      </w:pPr>
      <w:r>
        <w:t xml:space="preserve">We have documented a reproducible pipeline that turns 527</w:t>
      </w:r>
      <w:r>
        <w:t xml:space="preserve">,</w:t>
      </w:r>
      <w:r>
        <w:t xml:space="preserve">548 SEC filings of 2</w:t>
      </w:r>
      <w:r>
        <w:t xml:space="preserve">,</w:t>
      </w:r>
      <w:r>
        <w:t xml:space="preserve">564 issuers into 308</w:t>
      </w:r>
      <w:r>
        <w:t xml:space="preserve">,</w:t>
      </w:r>
      <w:r>
        <w:t xml:space="preserve">065 evidence-linked statements about 121</w:t>
      </w:r>
      <w:r>
        <w:t xml:space="preserve">,</w:t>
      </w:r>
      <w:r>
        <w:t xml:space="preserve">099 disclosed strategic initiatives, each traceable to an accession number and a filing section, classified into a 21-category taxonomy and organized into timelines. We have been equally explicit about what has</w:t>
      </w:r>
      <w:r>
        <w:t xml:space="preserve"> </w:t>
      </w:r>
      <w:r>
        <w:rPr>
          <w:i/>
          <w:iCs/>
        </w:rPr>
        <w:t xml:space="preserve">not</w:t>
      </w:r>
      <w:r>
        <w:t xml:space="preserve"> </w:t>
      </w:r>
      <w:r>
        <w:t xml:space="preserve">been done: the accuracy of extraction, classification and linkage has not been measured against independent human labels; amounts are not typed; events are not separated; the universe is a snapshot. The contribution of this paper is therefore the instrument and its audit rather than a validated measurement. The next step of the research program is the annotation study and the linkage audit described in Section 8; only their results will determine whether the counts reported here can be used as variables, and with what measurement-error model. Until then, SPID is a research database under validation, and we ask that it be cited and used as such.</w:t>
      </w:r>
    </w:p>
    <w:bookmarkEnd w:id="82"/>
    <w:bookmarkEnd w:id="83"/>
    <w:bookmarkStart w:id="84" w:name="a-taxonomy"/>
    <w:p>
      <w:pPr>
        <w:pStyle w:val="Heading1"/>
        <w:pageBreakBefore/>
      </w:pPr>
      <w:r>
        <w:t xml:space="preserve">References</w:t>
      </w:r>
    </w:p>
    <w:bookmarkStart w:id="127" w:name="refs"/>
    <w:bookmarkStart w:id="91" w:name="ref-bloom2021"/>
    <w:p>
      <w:pPr>
        <w:pStyle w:val="Bibliography"/>
      </w:pPr>
      <w:r>
        <w:t xml:space="preserve">Bloom, Nicholas, Tarek A. Hassan, Aakash Kalyani, Josh Lerner, and Ahmed Tahoun. 2021.</w:t>
      </w:r>
      <w:r>
        <w:t xml:space="preserve"> </w:t>
      </w:r>
      <w:r>
        <w:rPr>
          <w:i/>
          <w:iCs/>
        </w:rPr>
        <w:t xml:space="preserve">The Diffusion of Disruptive Technologies</w:t>
      </w:r>
      <w:r>
        <w:t xml:space="preserve">. NBER Working Paper No. 28999. National Bureau of Economic Research.</w:t>
      </w:r>
      <w:r>
        <w:t xml:space="preserve"> </w:t>
      </w:r>
      <w:hyperlink r:id="rId90">
        <w:r>
          <w:rPr>
            <w:rStyle w:val="Hyperlink"/>
          </w:rPr>
          <w:t xml:space="preserve">https://doi.org/10.3386/w28999</w:t>
        </w:r>
      </w:hyperlink>
      <w:r>
        <w:t xml:space="preserve">.</w:t>
      </w:r>
    </w:p>
    <w:bookmarkEnd w:id="91"/>
    <w:bookmarkStart w:id="93" w:name="ref-christen2012"/>
    <w:p>
      <w:pPr>
        <w:pStyle w:val="Bibliography"/>
      </w:pPr>
      <w:r>
        <w:t xml:space="preserve">Christen, Peter. 2012.</w:t>
      </w:r>
      <w:r>
        <w:t xml:space="preserve"> </w:t>
      </w:r>
      <w:r>
        <w:rPr>
          <w:i/>
          <w:iCs/>
        </w:rPr>
        <w:t xml:space="preserve">Data Matching: Concepts and Techniques for Record Linkage, Entity Resolution, and Duplicate Detection</w:t>
      </w:r>
      <w:r>
        <w:t xml:space="preserve">. Springer.</w:t>
      </w:r>
      <w:r>
        <w:t xml:space="preserve"> </w:t>
      </w:r>
      <w:hyperlink r:id="rId92">
        <w:r>
          <w:rPr>
            <w:rStyle w:val="Hyperlink"/>
          </w:rPr>
          <w:t xml:space="preserve">https://doi.org/10.1007/978-3-642-31164-2</w:t>
        </w:r>
      </w:hyperlink>
      <w:r>
        <w:t xml:space="preserve">.</w:t>
      </w:r>
    </w:p>
    <w:bookmarkEnd w:id="93"/>
    <w:bookmarkStart w:id="95" w:name="ref-cohen2020"/>
    <w:p>
      <w:pPr>
        <w:pStyle w:val="Bibliography"/>
      </w:pPr>
      <w:r>
        <w:t xml:space="preserve">Cohen, Lauren, Christopher Malloy, and Quoc Nguyen. 2020.</w:t>
      </w:r>
      <w:r>
        <w:t xml:space="preserve"> </w:t>
      </w:r>
      <w:r>
        <w:t xml:space="preserve">“Lazy Prices.”</w:t>
      </w:r>
      <w:r>
        <w:t xml:space="preserve"> </w:t>
      </w:r>
      <w:r>
        <w:rPr>
          <w:i/>
          <w:iCs/>
        </w:rPr>
        <w:t xml:space="preserve">Journal of Finance</w:t>
      </w:r>
      <w:r>
        <w:t xml:space="preserve"> </w:t>
      </w:r>
      <w:r>
        <w:t xml:space="preserve">75 (3): 1371–415.</w:t>
      </w:r>
      <w:r>
        <w:t xml:space="preserve"> </w:t>
      </w:r>
      <w:hyperlink r:id="rId94">
        <w:r>
          <w:rPr>
            <w:rStyle w:val="Hyperlink"/>
          </w:rPr>
          <w:t xml:space="preserve">https://doi.org/10.1111/jofi.12885</w:t>
        </w:r>
      </w:hyperlink>
      <w:r>
        <w:t xml:space="preserve">.</w:t>
      </w:r>
    </w:p>
    <w:bookmarkEnd w:id="95"/>
    <w:bookmarkStart w:id="97" w:name="ref-dyer2017"/>
    <w:p>
      <w:pPr>
        <w:pStyle w:val="Bibliography"/>
      </w:pPr>
      <w:r>
        <w:t xml:space="preserve">Dyer, Travis, Mark Lang, and Lorien Stice-Lawrence. 2017.</w:t>
      </w:r>
      <w:r>
        <w:t xml:space="preserve"> </w:t>
      </w:r>
      <w:r>
        <w:t xml:space="preserve">“The Evolution of 10-</w:t>
      </w:r>
      <w:r>
        <w:t xml:space="preserve">K</w:t>
      </w:r>
      <w:r>
        <w:t xml:space="preserve"> </w:t>
      </w:r>
      <w:r>
        <w:t xml:space="preserve">Textual Disclosure: Evidence from</w:t>
      </w:r>
      <w:r>
        <w:t xml:space="preserve"> </w:t>
      </w:r>
      <w:r>
        <w:t xml:space="preserve">L</w:t>
      </w:r>
      <w:r>
        <w:t xml:space="preserve">atent</w:t>
      </w:r>
      <w:r>
        <w:t xml:space="preserve"> </w:t>
      </w:r>
      <w:r>
        <w:t xml:space="preserve">D</w:t>
      </w:r>
      <w:r>
        <w:t xml:space="preserve">irichlet</w:t>
      </w:r>
      <w:r>
        <w:t xml:space="preserve"> </w:t>
      </w:r>
      <w:r>
        <w:t xml:space="preserve">A</w:t>
      </w:r>
      <w:r>
        <w:t xml:space="preserve">llocation.”</w:t>
      </w:r>
      <w:r>
        <w:t xml:space="preserve"> </w:t>
      </w:r>
      <w:r>
        <w:rPr>
          <w:i/>
          <w:iCs/>
        </w:rPr>
        <w:t xml:space="preserve">Journal of Accounting and Economics</w:t>
      </w:r>
      <w:r>
        <w:t xml:space="preserve"> </w:t>
      </w:r>
      <w:r>
        <w:t xml:space="preserve">64 (2–3): 221–45.</w:t>
      </w:r>
      <w:r>
        <w:t xml:space="preserve"> </w:t>
      </w:r>
      <w:hyperlink r:id="rId96">
        <w:r>
          <w:rPr>
            <w:rStyle w:val="Hyperlink"/>
          </w:rPr>
          <w:t xml:space="preserve">https://doi.org/10.1016/j.jacceco.2017.07.002</w:t>
        </w:r>
      </w:hyperlink>
      <w:r>
        <w:t xml:space="preserve">.</w:t>
      </w:r>
    </w:p>
    <w:bookmarkEnd w:id="97"/>
    <w:bookmarkStart w:id="99" w:name="ref-fellegi1969"/>
    <w:p>
      <w:pPr>
        <w:pStyle w:val="Bibliography"/>
      </w:pPr>
      <w:r>
        <w:t xml:space="preserve">Fellegi, Ivan P., and Alan B. Sunter. 1969.</w:t>
      </w:r>
      <w:r>
        <w:t xml:space="preserve"> </w:t>
      </w:r>
      <w:r>
        <w:t xml:space="preserve">“A Theory for Record Linkage.”</w:t>
      </w:r>
      <w:r>
        <w:t xml:space="preserve"> </w:t>
      </w:r>
      <w:r>
        <w:rPr>
          <w:i/>
          <w:iCs/>
        </w:rPr>
        <w:t xml:space="preserve">Journal of the American Statistical Association</w:t>
      </w:r>
      <w:r>
        <w:t xml:space="preserve"> </w:t>
      </w:r>
      <w:r>
        <w:t xml:space="preserve">64 (328): 1183–210.</w:t>
      </w:r>
      <w:r>
        <w:t xml:space="preserve"> </w:t>
      </w:r>
      <w:hyperlink r:id="rId98">
        <w:r>
          <w:rPr>
            <w:rStyle w:val="Hyperlink"/>
          </w:rPr>
          <w:t xml:space="preserve">https://doi.org/10.1080/01621459.1969.10501049</w:t>
        </w:r>
      </w:hyperlink>
      <w:r>
        <w:t xml:space="preserve">.</w:t>
      </w:r>
    </w:p>
    <w:bookmarkEnd w:id="99"/>
    <w:bookmarkStart w:id="101" w:name="ref-ftserussell2026"/>
    <w:p>
      <w:pPr>
        <w:pStyle w:val="Bibliography"/>
      </w:pPr>
      <w:r>
        <w:t xml:space="preserve">FTSE Russell. 2026.</w:t>
      </w:r>
      <w:r>
        <w:t xml:space="preserve"> </w:t>
      </w:r>
      <w:r>
        <w:rPr>
          <w:i/>
          <w:iCs/>
        </w:rPr>
        <w:t xml:space="preserve">Russell</w:t>
      </w:r>
      <w:r>
        <w:rPr>
          <w:i/>
          <w:iCs/>
        </w:rPr>
        <w:t xml:space="preserve"> </w:t>
      </w:r>
      <w:r>
        <w:rPr>
          <w:i/>
          <w:iCs/>
        </w:rPr>
        <w:t xml:space="preserve">US</w:t>
      </w:r>
      <w:r>
        <w:rPr>
          <w:i/>
          <w:iCs/>
        </w:rPr>
        <w:t xml:space="preserve"> </w:t>
      </w:r>
      <w:r>
        <w:rPr>
          <w:i/>
          <w:iCs/>
        </w:rPr>
        <w:t xml:space="preserve">Equity Indexes: Construction and Methodology</w:t>
      </w:r>
      <w:r>
        <w:t xml:space="preserve">.</w:t>
      </w:r>
      <w:r>
        <w:t xml:space="preserve"> </w:t>
      </w:r>
      <w:hyperlink r:id="rId100">
        <w:r>
          <w:rPr>
            <w:rStyle w:val="Hyperlink"/>
          </w:rPr>
          <w:t xml:space="preserve">Https://www.lseg.com/en/ftse-russell/indices/russell-us</w:t>
        </w:r>
      </w:hyperlink>
      <w:r>
        <w:t xml:space="preserve">.</w:t>
      </w:r>
    </w:p>
    <w:bookmarkEnd w:id="101"/>
    <w:bookmarkStart w:id="103" w:name="ref-gentzkow2019"/>
    <w:p>
      <w:pPr>
        <w:pStyle w:val="Bibliography"/>
      </w:pPr>
      <w:r>
        <w:t xml:space="preserve">Gentzkow, Matthew, Bryan Kelly, and Matt Taddy. 2019.</w:t>
      </w:r>
      <w:r>
        <w:t xml:space="preserve"> </w:t>
      </w:r>
      <w:r>
        <w:t xml:space="preserve">“Text as Data.”</w:t>
      </w:r>
      <w:r>
        <w:t xml:space="preserve"> </w:t>
      </w:r>
      <w:r>
        <w:rPr>
          <w:i/>
          <w:iCs/>
        </w:rPr>
        <w:t xml:space="preserve">Journal of Economic Literature</w:t>
      </w:r>
      <w:r>
        <w:t xml:space="preserve"> </w:t>
      </w:r>
      <w:r>
        <w:t xml:space="preserve">57 (3): 535–74.</w:t>
      </w:r>
      <w:r>
        <w:t xml:space="preserve"> </w:t>
      </w:r>
      <w:hyperlink r:id="rId102">
        <w:r>
          <w:rPr>
            <w:rStyle w:val="Hyperlink"/>
          </w:rPr>
          <w:t xml:space="preserve">https://doi.org/10.1257/jel.20181020</w:t>
        </w:r>
      </w:hyperlink>
      <w:r>
        <w:t xml:space="preserve">.</w:t>
      </w:r>
    </w:p>
    <w:bookmarkEnd w:id="103"/>
    <w:bookmarkStart w:id="105" w:name="ref-grimmer2013"/>
    <w:p>
      <w:pPr>
        <w:pStyle w:val="Bibliography"/>
      </w:pPr>
      <w:r>
        <w:t xml:space="preserve">Grimmer, Justin, and Brandon M. Stewart. 2013.</w:t>
      </w:r>
      <w:r>
        <w:t xml:space="preserve"> </w:t>
      </w:r>
      <w:r>
        <w:t xml:space="preserve">“Text as Data: The Promise and Pitfalls of Automatic Content Analysis Methods for Political Texts.”</w:t>
      </w:r>
      <w:r>
        <w:t xml:space="preserve"> </w:t>
      </w:r>
      <w:r>
        <w:rPr>
          <w:i/>
          <w:iCs/>
        </w:rPr>
        <w:t xml:space="preserve">Political Analysis</w:t>
      </w:r>
      <w:r>
        <w:t xml:space="preserve"> </w:t>
      </w:r>
      <w:r>
        <w:t xml:space="preserve">21 (3): 267–97.</w:t>
      </w:r>
      <w:r>
        <w:t xml:space="preserve"> </w:t>
      </w:r>
      <w:hyperlink r:id="rId104">
        <w:r>
          <w:rPr>
            <w:rStyle w:val="Hyperlink"/>
          </w:rPr>
          <w:t xml:space="preserve">https://doi.org/10.1093/pan/mps028</w:t>
        </w:r>
      </w:hyperlink>
      <w:r>
        <w:t xml:space="preserve">.</w:t>
      </w:r>
    </w:p>
    <w:bookmarkEnd w:id="105"/>
    <w:bookmarkStart w:id="107" w:name="ref-hassan2019"/>
    <w:p>
      <w:pPr>
        <w:pStyle w:val="Bibliography"/>
      </w:pPr>
      <w:r>
        <w:t xml:space="preserve">Hassan, Tarek A., Stephan Hollander, Laurence van Lent, and Ahmed Tahoun. 2019.</w:t>
      </w:r>
      <w:r>
        <w:t xml:space="preserve"> </w:t>
      </w:r>
      <w:r>
        <w:t xml:space="preserve">“Firm-Level Political Risk: Measurement and Effects.”</w:t>
      </w:r>
      <w:r>
        <w:t xml:space="preserve"> </w:t>
      </w:r>
      <w:r>
        <w:rPr>
          <w:i/>
          <w:iCs/>
        </w:rPr>
        <w:t xml:space="preserve">Quarterly Journal of Economics</w:t>
      </w:r>
      <w:r>
        <w:t xml:space="preserve"> </w:t>
      </w:r>
      <w:r>
        <w:t xml:space="preserve">134 (4): 2135–202.</w:t>
      </w:r>
      <w:r>
        <w:t xml:space="preserve"> </w:t>
      </w:r>
      <w:hyperlink r:id="rId106">
        <w:r>
          <w:rPr>
            <w:rStyle w:val="Hyperlink"/>
          </w:rPr>
          <w:t xml:space="preserve">https://doi.org/10.1093/qje/qjz021</w:t>
        </w:r>
      </w:hyperlink>
      <w:r>
        <w:t xml:space="preserve">.</w:t>
      </w:r>
    </w:p>
    <w:bookmarkEnd w:id="107"/>
    <w:bookmarkStart w:id="109" w:name="ref-hobergmaksimovic2015"/>
    <w:p>
      <w:pPr>
        <w:pStyle w:val="Bibliography"/>
      </w:pPr>
      <w:r>
        <w:t xml:space="preserve">Hoberg, Gerard, and Vojislav Maksimovic. 2015.</w:t>
      </w:r>
      <w:r>
        <w:t xml:space="preserve"> </w:t>
      </w:r>
      <w:r>
        <w:t xml:space="preserve">“Redefining Financial Constraints: A Text-Based Analysis.”</w:t>
      </w:r>
      <w:r>
        <w:t xml:space="preserve"> </w:t>
      </w:r>
      <w:r>
        <w:rPr>
          <w:i/>
          <w:iCs/>
        </w:rPr>
        <w:t xml:space="preserve">Review of Financial Studies</w:t>
      </w:r>
      <w:r>
        <w:t xml:space="preserve"> </w:t>
      </w:r>
      <w:r>
        <w:t xml:space="preserve">28 (5): 1312–52.</w:t>
      </w:r>
      <w:r>
        <w:t xml:space="preserve"> </w:t>
      </w:r>
      <w:hyperlink r:id="rId108">
        <w:r>
          <w:rPr>
            <w:rStyle w:val="Hyperlink"/>
          </w:rPr>
          <w:t xml:space="preserve">https://doi.org/10.1093/rfs/hhu089</w:t>
        </w:r>
      </w:hyperlink>
      <w:r>
        <w:t xml:space="preserve">.</w:t>
      </w:r>
    </w:p>
    <w:bookmarkEnd w:id="109"/>
    <w:bookmarkStart w:id="111" w:name="ref-hoberg2016"/>
    <w:p>
      <w:pPr>
        <w:pStyle w:val="Bibliography"/>
      </w:pPr>
      <w:r>
        <w:t xml:space="preserve">Hoberg, Gerard, and Gordon Phillips. 2016.</w:t>
      </w:r>
      <w:r>
        <w:t xml:space="preserve"> </w:t>
      </w:r>
      <w:r>
        <w:t xml:space="preserve">“Text-Based Network Industries and Endogenous Product Differentiation.”</w:t>
      </w:r>
      <w:r>
        <w:t xml:space="preserve"> </w:t>
      </w:r>
      <w:r>
        <w:rPr>
          <w:i/>
          <w:iCs/>
        </w:rPr>
        <w:t xml:space="preserve">Journal of Political Economy</w:t>
      </w:r>
      <w:r>
        <w:t xml:space="preserve"> </w:t>
      </w:r>
      <w:r>
        <w:t xml:space="preserve">124 (5): 1423–65.</w:t>
      </w:r>
      <w:r>
        <w:t xml:space="preserve"> </w:t>
      </w:r>
      <w:hyperlink r:id="rId110">
        <w:r>
          <w:rPr>
            <w:rStyle w:val="Hyperlink"/>
          </w:rPr>
          <w:t xml:space="preserve">https://doi.org/10.1086/688176</w:t>
        </w:r>
      </w:hyperlink>
      <w:r>
        <w:t xml:space="preserve">.</w:t>
      </w:r>
    </w:p>
    <w:bookmarkEnd w:id="111"/>
    <w:bookmarkStart w:id="113" w:name="ref-kelly2021"/>
    <w:p>
      <w:pPr>
        <w:pStyle w:val="Bibliography"/>
      </w:pPr>
      <w:r>
        <w:t xml:space="preserve">Kelly, Bryan, Dimitris Papanikolaou, Amit Seru, and Matt Taddy. 2021.</w:t>
      </w:r>
      <w:r>
        <w:t xml:space="preserve"> </w:t>
      </w:r>
      <w:r>
        <w:t xml:space="preserve">“Measuring Technological Innovation over the Long Run.”</w:t>
      </w:r>
      <w:r>
        <w:t xml:space="preserve"> </w:t>
      </w:r>
      <w:r>
        <w:rPr>
          <w:i/>
          <w:iCs/>
        </w:rPr>
        <w:t xml:space="preserve">American Economic Review: Insights</w:t>
      </w:r>
      <w:r>
        <w:t xml:space="preserve"> </w:t>
      </w:r>
      <w:r>
        <w:t xml:space="preserve">3 (3): 303–20.</w:t>
      </w:r>
      <w:r>
        <w:t xml:space="preserve"> </w:t>
      </w:r>
      <w:hyperlink r:id="rId112">
        <w:r>
          <w:rPr>
            <w:rStyle w:val="Hyperlink"/>
          </w:rPr>
          <w:t xml:space="preserve">https://doi.org/10.1257/aeri.20190499</w:t>
        </w:r>
      </w:hyperlink>
      <w:r>
        <w:t xml:space="preserve">.</w:t>
      </w:r>
    </w:p>
    <w:bookmarkEnd w:id="113"/>
    <w:bookmarkStart w:id="115" w:name="ref-li2021"/>
    <w:p>
      <w:pPr>
        <w:pStyle w:val="Bibliography"/>
      </w:pPr>
      <w:r>
        <w:t xml:space="preserve">Li, Kai, Feng Mai, Rui Shen, and Xinyan Yan. 2021.</w:t>
      </w:r>
      <w:r>
        <w:t xml:space="preserve"> </w:t>
      </w:r>
      <w:r>
        <w:t xml:space="preserve">“Measuring Corporate Culture Using Machine Learning.”</w:t>
      </w:r>
      <w:r>
        <w:t xml:space="preserve"> </w:t>
      </w:r>
      <w:r>
        <w:rPr>
          <w:i/>
          <w:iCs/>
        </w:rPr>
        <w:t xml:space="preserve">Review of Financial Studies</w:t>
      </w:r>
      <w:r>
        <w:t xml:space="preserve"> </w:t>
      </w:r>
      <w:r>
        <w:t xml:space="preserve">34 (7): 3265–315.</w:t>
      </w:r>
      <w:r>
        <w:t xml:space="preserve"> </w:t>
      </w:r>
      <w:hyperlink r:id="rId114">
        <w:r>
          <w:rPr>
            <w:rStyle w:val="Hyperlink"/>
          </w:rPr>
          <w:t xml:space="preserve">https://doi.org/10.1093/rfs/hhaa079</w:t>
        </w:r>
      </w:hyperlink>
      <w:r>
        <w:t xml:space="preserve">.</w:t>
      </w:r>
    </w:p>
    <w:bookmarkEnd w:id="115"/>
    <w:bookmarkStart w:id="117" w:name="ref-loughran2011"/>
    <w:p>
      <w:pPr>
        <w:pStyle w:val="Bibliography"/>
      </w:pPr>
      <w:r>
        <w:t xml:space="preserve">Loughran, Tim, and Bill McDonald. 2011.</w:t>
      </w:r>
      <w:r>
        <w:t xml:space="preserve"> </w:t>
      </w:r>
      <w:r>
        <w:t xml:space="preserve">“When Is a Liability Not a Liability?</w:t>
      </w:r>
      <w:r>
        <w:t xml:space="preserve"> </w:t>
      </w:r>
      <w:r>
        <w:t xml:space="preserve">T</w:t>
      </w:r>
      <w:r>
        <w:t xml:space="preserve">extual Analysis, Dictionaries, and 10-</w:t>
      </w:r>
      <w:r>
        <w:t xml:space="preserve">K</w:t>
      </w:r>
      <w:r>
        <w:t xml:space="preserve">s.”</w:t>
      </w:r>
      <w:r>
        <w:t xml:space="preserve"> </w:t>
      </w:r>
      <w:r>
        <w:rPr>
          <w:i/>
          <w:iCs/>
        </w:rPr>
        <w:t xml:space="preserve">Journal of Finance</w:t>
      </w:r>
      <w:r>
        <w:t xml:space="preserve"> </w:t>
      </w:r>
      <w:r>
        <w:t xml:space="preserve">66 (1): 35–65.</w:t>
      </w:r>
      <w:r>
        <w:t xml:space="preserve"> </w:t>
      </w:r>
      <w:hyperlink r:id="rId116">
        <w:r>
          <w:rPr>
            <w:rStyle w:val="Hyperlink"/>
          </w:rPr>
          <w:t xml:space="preserve">https://doi.org/10.1111/j.1540-6261.2010.01625.x</w:t>
        </w:r>
      </w:hyperlink>
      <w:r>
        <w:t xml:space="preserve">.</w:t>
      </w:r>
    </w:p>
    <w:bookmarkEnd w:id="117"/>
    <w:bookmarkStart w:id="119" w:name="ref-loughran2016"/>
    <w:p>
      <w:pPr>
        <w:pStyle w:val="Bibliography"/>
      </w:pPr>
      <w:r>
        <w:t xml:space="preserve">Loughran, Tim, and Bill McDonald. 2016.</w:t>
      </w:r>
      <w:r>
        <w:t xml:space="preserve"> </w:t>
      </w:r>
      <w:r>
        <w:t xml:space="preserve">“Textual Analysis in Accounting and Finance: A Survey.”</w:t>
      </w:r>
      <w:r>
        <w:t xml:space="preserve"> </w:t>
      </w:r>
      <w:r>
        <w:rPr>
          <w:i/>
          <w:iCs/>
        </w:rPr>
        <w:t xml:space="preserve">Journal of Accounting Research</w:t>
      </w:r>
      <w:r>
        <w:t xml:space="preserve"> </w:t>
      </w:r>
      <w:r>
        <w:t xml:space="preserve">54 (4): 1187–230.</w:t>
      </w:r>
      <w:r>
        <w:t xml:space="preserve"> </w:t>
      </w:r>
      <w:hyperlink r:id="rId118">
        <w:r>
          <w:rPr>
            <w:rStyle w:val="Hyperlink"/>
          </w:rPr>
          <w:t xml:space="preserve">https://doi.org/10.1111/1475-679X.12123</w:t>
        </w:r>
      </w:hyperlink>
      <w:r>
        <w:t xml:space="preserve">.</w:t>
      </w:r>
    </w:p>
    <w:bookmarkEnd w:id="119"/>
    <w:bookmarkStart w:id="121" w:name="ref-raasveldt2019"/>
    <w:p>
      <w:pPr>
        <w:pStyle w:val="Bibliography"/>
      </w:pPr>
      <w:r>
        <w:t xml:space="preserve">Raasveldt, Mark, and Hannes Mühleisen. 2019.</w:t>
      </w:r>
      <w:r>
        <w:t xml:space="preserve"> </w:t>
      </w:r>
      <w:r>
        <w:t xml:space="preserve">“</w:t>
      </w:r>
      <w:r>
        <w:t xml:space="preserve">DuckDB</w:t>
      </w:r>
      <w:r>
        <w:t xml:space="preserve">: An Embeddable Analytical Database.”</w:t>
      </w:r>
      <w:r>
        <w:t xml:space="preserve"> </w:t>
      </w:r>
      <w:r>
        <w:rPr>
          <w:i/>
          <w:iCs/>
        </w:rPr>
        <w:t xml:space="preserve">Proceedings of the 2019 International Conference on Management of Data (SIGMOD)</w:t>
      </w:r>
      <w:r>
        <w:t xml:space="preserve">, 1981–84.</w:t>
      </w:r>
      <w:r>
        <w:t xml:space="preserve"> </w:t>
      </w:r>
      <w:hyperlink r:id="rId120">
        <w:r>
          <w:rPr>
            <w:rStyle w:val="Hyperlink"/>
          </w:rPr>
          <w:t xml:space="preserve">https://doi.org/10.1145/3299869.3320212</w:t>
        </w:r>
      </w:hyperlink>
      <w:r>
        <w:t xml:space="preserve">.</w:t>
      </w:r>
    </w:p>
    <w:bookmarkEnd w:id="121"/>
    <w:bookmarkStart w:id="123" w:name="ref-reimers2019"/>
    <w:p>
      <w:pPr>
        <w:pStyle w:val="Bibliography"/>
      </w:pPr>
      <w:r>
        <w:t xml:space="preserve">Reimers, Nils, and Iryna Gurevych. 2019.</w:t>
      </w:r>
      <w:r>
        <w:t xml:space="preserve"> </w:t>
      </w:r>
      <w:r>
        <w:t xml:space="preserve">“Sentence-</w:t>
      </w:r>
      <w:r>
        <w:t xml:space="preserve">BERT</w:t>
      </w:r>
      <w:r>
        <w:t xml:space="preserve">: Sentence Embeddings Using</w:t>
      </w:r>
      <w:r>
        <w:t xml:space="preserve"> </w:t>
      </w:r>
      <w:r>
        <w:t xml:space="preserve">S</w:t>
      </w:r>
      <w:r>
        <w:t xml:space="preserve">iamese</w:t>
      </w:r>
      <w:r>
        <w:t xml:space="preserve"> </w:t>
      </w:r>
      <w:r>
        <w:t xml:space="preserve">BERT</w:t>
      </w:r>
      <w:r>
        <w:t xml:space="preserve">-Networks.”</w:t>
      </w:r>
      <w:r>
        <w:t xml:space="preserve"> </w:t>
      </w:r>
      <w:r>
        <w:rPr>
          <w:i/>
          <w:iCs/>
        </w:rPr>
        <w:t xml:space="preserve">Proceedings of the 2019 Conference on Empirical Methods in Natural Language Processing (EMNLP-IJCNLP)</w:t>
      </w:r>
      <w:r>
        <w:t xml:space="preserve">, 3982–92.</w:t>
      </w:r>
      <w:r>
        <w:t xml:space="preserve"> </w:t>
      </w:r>
      <w:hyperlink r:id="rId122">
        <w:r>
          <w:rPr>
            <w:rStyle w:val="Hyperlink"/>
          </w:rPr>
          <w:t xml:space="preserve">https://doi.org/10.18653/v1/D19-1410</w:t>
        </w:r>
      </w:hyperlink>
      <w:r>
        <w:t xml:space="preserve">.</w:t>
      </w:r>
    </w:p>
    <w:bookmarkEnd w:id="123"/>
    <w:bookmarkStart w:id="124" w:name="ref-spid2026"/>
    <w:p>
      <w:pPr>
        <w:pStyle w:val="Bibliography"/>
      </w:pPr>
      <w:r>
        <w:t xml:space="preserve">Tandjambianda, Djerrycharli, Simon-Pierre Boucher, and Manel Kammoun. 2026.</w:t>
      </w:r>
      <w:r>
        <w:t xml:space="preserve"> </w:t>
      </w:r>
      <w:r>
        <w:rPr>
          <w:i/>
          <w:iCs/>
        </w:rPr>
        <w:t xml:space="preserve">SPID</w:t>
      </w:r>
      <w:r>
        <w:rPr>
          <w:i/>
          <w:iCs/>
        </w:rPr>
        <w:t xml:space="preserve"> </w:t>
      </w:r>
      <w:r>
        <w:rPr>
          <w:i/>
          <w:iCs/>
        </w:rPr>
        <w:t xml:space="preserve">—</w:t>
      </w:r>
      <w:r>
        <w:rPr>
          <w:i/>
          <w:iCs/>
        </w:rPr>
        <w:t xml:space="preserve"> </w:t>
      </w:r>
      <w:r>
        <w:rPr>
          <w:i/>
          <w:iCs/>
        </w:rPr>
        <w:t xml:space="preserve">SEC</w:t>
      </w:r>
      <w:r>
        <w:rPr>
          <w:i/>
          <w:iCs/>
        </w:rPr>
        <w:t xml:space="preserve"> </w:t>
      </w:r>
      <w:r>
        <w:rPr>
          <w:i/>
          <w:iCs/>
        </w:rPr>
        <w:t xml:space="preserve">Project Intelligence Database: A Methodological Report on the</w:t>
      </w:r>
      <w:r>
        <w:rPr>
          <w:i/>
          <w:iCs/>
        </w:rPr>
        <w:t xml:space="preserve"> </w:t>
      </w:r>
      <w:r>
        <w:rPr>
          <w:i/>
          <w:iCs/>
        </w:rPr>
        <w:t xml:space="preserve">S&amp;P</w:t>
      </w:r>
      <w:r>
        <w:rPr>
          <w:i/>
          <w:iCs/>
        </w:rPr>
        <w:t xml:space="preserve"> 500 Release</w:t>
      </w:r>
      <w:r>
        <w:t xml:space="preserve">. Internal methodological report. Université du Québec en Outaouais, Département des sciences administratives.</w:t>
      </w:r>
    </w:p>
    <w:bookmarkEnd w:id="124"/>
    <w:bookmarkStart w:id="126" w:name="ref-secfairaccess"/>
    <w:p>
      <w:pPr>
        <w:pStyle w:val="Bibliography"/>
      </w:pPr>
      <w:r>
        <w:t xml:space="preserve">U.S. Securities and Exchange Commission. 2024.</w:t>
      </w:r>
      <w:r>
        <w:t xml:space="preserve"> </w:t>
      </w:r>
      <w:r>
        <w:rPr>
          <w:i/>
          <w:iCs/>
        </w:rPr>
        <w:t xml:space="preserve">Accessing</w:t>
      </w:r>
      <w:r>
        <w:rPr>
          <w:i/>
          <w:iCs/>
        </w:rPr>
        <w:t xml:space="preserve"> </w:t>
      </w:r>
      <w:r>
        <w:rPr>
          <w:i/>
          <w:iCs/>
        </w:rPr>
        <w:t xml:space="preserve">EDGAR</w:t>
      </w:r>
      <w:r>
        <w:rPr>
          <w:i/>
          <w:iCs/>
        </w:rPr>
        <w:t xml:space="preserve"> </w:t>
      </w:r>
      <w:r>
        <w:rPr>
          <w:i/>
          <w:iCs/>
        </w:rPr>
        <w:t xml:space="preserve">Data: Fair Access Policy</w:t>
      </w:r>
      <w:r>
        <w:t xml:space="preserve">.</w:t>
      </w:r>
      <w:r>
        <w:t xml:space="preserve"> </w:t>
      </w:r>
      <w:hyperlink r:id="rId125">
        <w:r>
          <w:rPr>
            <w:rStyle w:val="Hyperlink"/>
          </w:rPr>
          <w:t xml:space="preserve">Https://www.sec.gov/os/accessing-edgar-data</w:t>
        </w:r>
      </w:hyperlink>
      <w:r>
        <w:t xml:space="preserve">.</w:t>
      </w:r>
    </w:p>
    <w:bookmarkEnd w:id="126"/>
    <w:bookmarkEnd w:id="127"/>
    <w:bookmarkEnd w:id="128"/>
    <w:p>
      <w:pPr>
        <w:pStyle w:val="Heading1"/>
        <w:pageBreakBefore/>
      </w:pPr>
      <w:r>
        <w:t xml:space="preserve">A Taxonomy</w:t>
      </w:r>
    </w:p>
    <w:p>
      <w:pPr>
        <w:pStyle w:val="TableCaption"/>
      </w:pPr>
      <w:r>
        <w:t xml:space="preserve">Table 11: The 21-category SPID project taxonomy (</w:t>
      </w:r>
      <w:r>
        <w:rPr>
          <w:rStyle w:val="VerbatimChar"/>
        </w:rPr>
        <w:t xml:space="preserve">spid/taxonomy.py</w:t>
      </w:r>
      <w:r>
        <w:t xml:space="preserve">, unchanged since the June 2026 release)</w:t>
      </w:r>
    </w:p>
    <w:tbl>
      <w:tblPr>
        <w:tblStyle w:val="Table"/>
        <w:tblW w:type="auto" w:w="0"/>
        <w:tblLook w:firstRow="1" w:lastRow="0" w:firstColumn="0" w:lastColumn="0" w:noHBand="0" w:noVBand="0" w:val="0020"/>
        <w:tblCaption w:val="Table 11: The 21-category SPID project taxonomy (spid/taxonomy.py, unchanged since the June 2026 release)"/>
      </w:tblPr>
      <w:tblGrid>
        <w:gridCol w:w="3960"/>
        <w:gridCol w:w="3960"/>
      </w:tblGrid>
      <w:tr>
        <w:trPr>
          <w:tblHeader w:val="on"/>
        </w:trPr>
        <w:tc>
          <w:tcPr/>
          <w:p>
            <w:pPr>
              <w:pStyle w:val="Compact"/>
              <w:jc w:val="left"/>
            </w:pPr>
            <w:r>
              <w:t xml:space="preserve">Code</w:t>
            </w:r>
          </w:p>
        </w:tc>
        <w:tc>
          <w:tcPr/>
          <w:p>
            <w:pPr>
              <w:pStyle w:val="Compact"/>
              <w:jc w:val="left"/>
            </w:pPr>
            <w:r>
              <w:t xml:space="preserve">Label</w:t>
            </w:r>
          </w:p>
        </w:tc>
      </w:tr>
      <w:tr>
        <w:tc>
          <w:tcPr/>
          <w:p>
            <w:pPr>
              <w:pStyle w:val="Compact"/>
              <w:jc w:val="left"/>
            </w:pPr>
            <w:r>
              <w:rPr>
                <w:rStyle w:val="VerbatimChar"/>
              </w:rPr>
              <w:t xml:space="preserve">manufacturing_expansion</w:t>
            </w:r>
          </w:p>
        </w:tc>
        <w:tc>
          <w:tcPr/>
          <w:p>
            <w:pPr>
              <w:pStyle w:val="Compact"/>
              <w:jc w:val="left"/>
            </w:pPr>
            <w:r>
              <w:t xml:space="preserve">Manufacturing / Capacity Expansion</w:t>
            </w:r>
          </w:p>
        </w:tc>
      </w:tr>
      <w:tr>
        <w:tc>
          <w:tcPr/>
          <w:p>
            <w:pPr>
              <w:pStyle w:val="Compact"/>
              <w:jc w:val="left"/>
            </w:pPr>
            <w:r>
              <w:rPr>
                <w:rStyle w:val="VerbatimChar"/>
              </w:rPr>
              <w:t xml:space="preserve">plant_construction</w:t>
            </w:r>
          </w:p>
        </w:tc>
        <w:tc>
          <w:tcPr/>
          <w:p>
            <w:pPr>
              <w:pStyle w:val="Compact"/>
              <w:jc w:val="left"/>
            </w:pPr>
            <w:r>
              <w:t xml:space="preserve">Plant / Site Construction</w:t>
            </w:r>
          </w:p>
        </w:tc>
      </w:tr>
      <w:tr>
        <w:tc>
          <w:tcPr/>
          <w:p>
            <w:pPr>
              <w:pStyle w:val="Compact"/>
              <w:jc w:val="left"/>
            </w:pPr>
            <w:r>
              <w:rPr>
                <w:rStyle w:val="VerbatimChar"/>
              </w:rPr>
              <w:t xml:space="preserve">data_center</w:t>
            </w:r>
          </w:p>
        </w:tc>
        <w:tc>
          <w:tcPr/>
          <w:p>
            <w:pPr>
              <w:pStyle w:val="Compact"/>
              <w:jc w:val="left"/>
            </w:pPr>
            <w:r>
              <w:t xml:space="preserve">Data Center</w:t>
            </w:r>
          </w:p>
        </w:tc>
      </w:tr>
      <w:tr>
        <w:tc>
          <w:tcPr/>
          <w:p>
            <w:pPr>
              <w:pStyle w:val="Compact"/>
              <w:jc w:val="left"/>
            </w:pPr>
            <w:r>
              <w:rPr>
                <w:rStyle w:val="VerbatimChar"/>
              </w:rPr>
              <w:t xml:space="preserve">cloud_migration</w:t>
            </w:r>
          </w:p>
        </w:tc>
        <w:tc>
          <w:tcPr/>
          <w:p>
            <w:pPr>
              <w:pStyle w:val="Compact"/>
              <w:jc w:val="left"/>
            </w:pPr>
            <w:r>
              <w:t xml:space="preserve">Cloud Migration</w:t>
            </w:r>
          </w:p>
        </w:tc>
      </w:tr>
      <w:tr>
        <w:tc>
          <w:tcPr/>
          <w:p>
            <w:pPr>
              <w:pStyle w:val="Compact"/>
              <w:jc w:val="left"/>
            </w:pPr>
            <w:r>
              <w:rPr>
                <w:rStyle w:val="VerbatimChar"/>
              </w:rPr>
              <w:t xml:space="preserve">ai_initiative</w:t>
            </w:r>
          </w:p>
        </w:tc>
        <w:tc>
          <w:tcPr/>
          <w:p>
            <w:pPr>
              <w:pStyle w:val="Compact"/>
              <w:jc w:val="left"/>
            </w:pPr>
            <w:r>
              <w:t xml:space="preserve">AI / ML Initiative</w:t>
            </w:r>
          </w:p>
        </w:tc>
      </w:tr>
      <w:tr>
        <w:tc>
          <w:tcPr/>
          <w:p>
            <w:pPr>
              <w:pStyle w:val="Compact"/>
              <w:jc w:val="left"/>
            </w:pPr>
            <w:r>
              <w:rPr>
                <w:rStyle w:val="VerbatimChar"/>
              </w:rPr>
              <w:t xml:space="preserve">digital_transformation</w:t>
            </w:r>
          </w:p>
        </w:tc>
        <w:tc>
          <w:tcPr/>
          <w:p>
            <w:pPr>
              <w:pStyle w:val="Compact"/>
              <w:jc w:val="left"/>
            </w:pPr>
            <w:r>
              <w:t xml:space="preserve">Digital Transformation</w:t>
            </w:r>
          </w:p>
        </w:tc>
      </w:tr>
      <w:tr>
        <w:tc>
          <w:tcPr/>
          <w:p>
            <w:pPr>
              <w:pStyle w:val="Compact"/>
              <w:jc w:val="left"/>
            </w:pPr>
            <w:r>
              <w:rPr>
                <w:rStyle w:val="VerbatimChar"/>
              </w:rPr>
              <w:t xml:space="preserve">erp_implementation</w:t>
            </w:r>
          </w:p>
        </w:tc>
        <w:tc>
          <w:tcPr/>
          <w:p>
            <w:pPr>
              <w:pStyle w:val="Compact"/>
              <w:jc w:val="left"/>
            </w:pPr>
            <w:r>
              <w:t xml:space="preserve">ERP / Systems Implementation</w:t>
            </w:r>
          </w:p>
        </w:tc>
      </w:tr>
      <w:tr>
        <w:tc>
          <w:tcPr/>
          <w:p>
            <w:pPr>
              <w:pStyle w:val="Compact"/>
              <w:jc w:val="left"/>
            </w:pPr>
            <w:r>
              <w:rPr>
                <w:rStyle w:val="VerbatimChar"/>
              </w:rPr>
              <w:t xml:space="preserve">rd_program</w:t>
            </w:r>
          </w:p>
        </w:tc>
        <w:tc>
          <w:tcPr/>
          <w:p>
            <w:pPr>
              <w:pStyle w:val="Compact"/>
              <w:jc w:val="left"/>
            </w:pPr>
            <w:r>
              <w:t xml:space="preserve">R&amp;D Program</w:t>
            </w:r>
          </w:p>
        </w:tc>
      </w:tr>
      <w:tr>
        <w:tc>
          <w:tcPr/>
          <w:p>
            <w:pPr>
              <w:pStyle w:val="Compact"/>
              <w:jc w:val="left"/>
            </w:pPr>
            <w:r>
              <w:rPr>
                <w:rStyle w:val="VerbatimChar"/>
              </w:rPr>
              <w:t xml:space="preserve">product_launch</w:t>
            </w:r>
          </w:p>
        </w:tc>
        <w:tc>
          <w:tcPr/>
          <w:p>
            <w:pPr>
              <w:pStyle w:val="Compact"/>
              <w:jc w:val="left"/>
            </w:pPr>
            <w:r>
              <w:t xml:space="preserve">New Product / Launch</w:t>
            </w:r>
          </w:p>
        </w:tc>
      </w:tr>
      <w:tr>
        <w:tc>
          <w:tcPr/>
          <w:p>
            <w:pPr>
              <w:pStyle w:val="Compact"/>
              <w:jc w:val="left"/>
            </w:pPr>
            <w:r>
              <w:rPr>
                <w:rStyle w:val="VerbatimChar"/>
              </w:rPr>
              <w:t xml:space="preserve">drug_pipeline</w:t>
            </w:r>
          </w:p>
        </w:tc>
        <w:tc>
          <w:tcPr/>
          <w:p>
            <w:pPr>
              <w:pStyle w:val="Compact"/>
              <w:jc w:val="left"/>
            </w:pPr>
            <w:r>
              <w:t xml:space="preserve">Drug / Clinical Pipeline</w:t>
            </w:r>
          </w:p>
        </w:tc>
      </w:tr>
      <w:tr>
        <w:tc>
          <w:tcPr/>
          <w:p>
            <w:pPr>
              <w:pStyle w:val="Compact"/>
              <w:jc w:val="left"/>
            </w:pPr>
            <w:r>
              <w:rPr>
                <w:rStyle w:val="VerbatimChar"/>
              </w:rPr>
              <w:t xml:space="preserve">ma_integration</w:t>
            </w:r>
          </w:p>
        </w:tc>
        <w:tc>
          <w:tcPr/>
          <w:p>
            <w:pPr>
              <w:pStyle w:val="Compact"/>
              <w:jc w:val="left"/>
            </w:pPr>
            <w:r>
              <w:t xml:space="preserve">M&amp;A / Integration</w:t>
            </w:r>
          </w:p>
        </w:tc>
      </w:tr>
      <w:tr>
        <w:tc>
          <w:tcPr/>
          <w:p>
            <w:pPr>
              <w:pStyle w:val="Compact"/>
              <w:jc w:val="left"/>
            </w:pPr>
            <w:r>
              <w:rPr>
                <w:rStyle w:val="VerbatimChar"/>
              </w:rPr>
              <w:t xml:space="preserve">geographic_expansion</w:t>
            </w:r>
          </w:p>
        </w:tc>
        <w:tc>
          <w:tcPr/>
          <w:p>
            <w:pPr>
              <w:pStyle w:val="Compact"/>
              <w:jc w:val="left"/>
            </w:pPr>
            <w:r>
              <w:t xml:space="preserve">Geographic Expansion</w:t>
            </w:r>
          </w:p>
        </w:tc>
      </w:tr>
      <w:tr>
        <w:tc>
          <w:tcPr/>
          <w:p>
            <w:pPr>
              <w:pStyle w:val="Compact"/>
              <w:jc w:val="left"/>
            </w:pPr>
            <w:r>
              <w:rPr>
                <w:rStyle w:val="VerbatimChar"/>
              </w:rPr>
              <w:t xml:space="preserve">capex_program</w:t>
            </w:r>
          </w:p>
        </w:tc>
        <w:tc>
          <w:tcPr/>
          <w:p>
            <w:pPr>
              <w:pStyle w:val="Compact"/>
              <w:jc w:val="left"/>
            </w:pPr>
            <w:r>
              <w:t xml:space="preserve">Capital Expenditure Program</w:t>
            </w:r>
          </w:p>
        </w:tc>
      </w:tr>
      <w:tr>
        <w:tc>
          <w:tcPr/>
          <w:p>
            <w:pPr>
              <w:pStyle w:val="Compact"/>
              <w:jc w:val="left"/>
            </w:pPr>
            <w:r>
              <w:rPr>
                <w:rStyle w:val="VerbatimChar"/>
              </w:rPr>
              <w:t xml:space="preserve">supply_chain</w:t>
            </w:r>
          </w:p>
        </w:tc>
        <w:tc>
          <w:tcPr/>
          <w:p>
            <w:pPr>
              <w:pStyle w:val="Compact"/>
              <w:jc w:val="left"/>
            </w:pPr>
            <w:r>
              <w:t xml:space="preserve">Supply Chain Initiative</w:t>
            </w:r>
          </w:p>
        </w:tc>
      </w:tr>
      <w:tr>
        <w:tc>
          <w:tcPr/>
          <w:p>
            <w:pPr>
              <w:pStyle w:val="Compact"/>
              <w:jc w:val="left"/>
            </w:pPr>
            <w:r>
              <w:rPr>
                <w:rStyle w:val="VerbatimChar"/>
              </w:rPr>
              <w:t xml:space="preserve">automation</w:t>
            </w:r>
          </w:p>
        </w:tc>
        <w:tc>
          <w:tcPr/>
          <w:p>
            <w:pPr>
              <w:pStyle w:val="Compact"/>
              <w:jc w:val="left"/>
            </w:pPr>
            <w:r>
              <w:t xml:space="preserve">Automation / Robotics</w:t>
            </w:r>
          </w:p>
        </w:tc>
      </w:tr>
      <w:tr>
        <w:tc>
          <w:tcPr/>
          <w:p>
            <w:pPr>
              <w:pStyle w:val="Compact"/>
              <w:jc w:val="left"/>
            </w:pPr>
            <w:r>
              <w:rPr>
                <w:rStyle w:val="VerbatimChar"/>
              </w:rPr>
              <w:t xml:space="preserve">sustainability</w:t>
            </w:r>
          </w:p>
        </w:tc>
        <w:tc>
          <w:tcPr/>
          <w:p>
            <w:pPr>
              <w:pStyle w:val="Compact"/>
              <w:jc w:val="left"/>
            </w:pPr>
            <w:r>
              <w:t xml:space="preserve">Sustainability / ESG</w:t>
            </w:r>
          </w:p>
        </w:tc>
      </w:tr>
      <w:tr>
        <w:tc>
          <w:tcPr/>
          <w:p>
            <w:pPr>
              <w:pStyle w:val="Compact"/>
              <w:jc w:val="left"/>
            </w:pPr>
            <w:r>
              <w:rPr>
                <w:rStyle w:val="VerbatimChar"/>
              </w:rPr>
              <w:t xml:space="preserve">energy_transition</w:t>
            </w:r>
          </w:p>
        </w:tc>
        <w:tc>
          <w:tcPr/>
          <w:p>
            <w:pPr>
              <w:pStyle w:val="Compact"/>
              <w:jc w:val="left"/>
            </w:pPr>
            <w:r>
              <w:t xml:space="preserve">Energy Transition / Renewables</w:t>
            </w:r>
          </w:p>
        </w:tc>
      </w:tr>
      <w:tr>
        <w:tc>
          <w:tcPr/>
          <w:p>
            <w:pPr>
              <w:pStyle w:val="Compact"/>
              <w:jc w:val="left"/>
            </w:pPr>
            <w:r>
              <w:rPr>
                <w:rStyle w:val="VerbatimChar"/>
              </w:rPr>
              <w:t xml:space="preserve">infrastructure</w:t>
            </w:r>
          </w:p>
        </w:tc>
        <w:tc>
          <w:tcPr/>
          <w:p>
            <w:pPr>
              <w:pStyle w:val="Compact"/>
              <w:jc w:val="left"/>
            </w:pPr>
            <w:r>
              <w:t xml:space="preserve">Infrastructure Investment</w:t>
            </w:r>
          </w:p>
        </w:tc>
      </w:tr>
      <w:tr>
        <w:tc>
          <w:tcPr/>
          <w:p>
            <w:pPr>
              <w:pStyle w:val="Compact"/>
              <w:jc w:val="left"/>
            </w:pPr>
            <w:r>
              <w:rPr>
                <w:rStyle w:val="VerbatimChar"/>
              </w:rPr>
              <w:t xml:space="preserve">cost_reduction</w:t>
            </w:r>
          </w:p>
        </w:tc>
        <w:tc>
          <w:tcPr/>
          <w:p>
            <w:pPr>
              <w:pStyle w:val="Compact"/>
              <w:jc w:val="left"/>
            </w:pPr>
            <w:r>
              <w:t xml:space="preserve">Cost Reduction / Restructuring</w:t>
            </w:r>
          </w:p>
        </w:tc>
      </w:tr>
      <w:tr>
        <w:tc>
          <w:tcPr/>
          <w:p>
            <w:pPr>
              <w:pStyle w:val="Compact"/>
              <w:jc w:val="left"/>
            </w:pPr>
            <w:r>
              <w:rPr>
                <w:rStyle w:val="VerbatimChar"/>
              </w:rPr>
              <w:t xml:space="preserve">partnership</w:t>
            </w:r>
          </w:p>
        </w:tc>
        <w:tc>
          <w:tcPr/>
          <w:p>
            <w:pPr>
              <w:pStyle w:val="Compact"/>
              <w:jc w:val="left"/>
            </w:pPr>
            <w:r>
              <w:t xml:space="preserve">Strategic Partnership</w:t>
            </w:r>
          </w:p>
        </w:tc>
      </w:tr>
      <w:tr>
        <w:tc>
          <w:tcPr/>
          <w:p>
            <w:pPr>
              <w:pStyle w:val="Compact"/>
              <w:jc w:val="left"/>
            </w:pPr>
            <w:r>
              <w:rPr>
                <w:rStyle w:val="VerbatimChar"/>
              </w:rPr>
              <w:t xml:space="preserve">technology_deployment</w:t>
            </w:r>
          </w:p>
        </w:tc>
        <w:tc>
          <w:tcPr/>
          <w:p>
            <w:pPr>
              <w:pStyle w:val="Compact"/>
              <w:jc w:val="left"/>
            </w:pPr>
            <w:r>
              <w:t xml:space="preserve">Technology Deployment</w:t>
            </w:r>
          </w:p>
        </w:tc>
      </w:tr>
    </w:tbl>
    <w:bookmarkEnd w:id="84"/>
    <w:bookmarkStart w:id="85" w:name="b-extraction-contract"/>
    <w:p>
      <w:pPr>
        <w:pStyle w:val="Heading1"/>
      </w:pPr>
      <w:r>
        <w:t xml:space="preserve">B Extraction contract</w:t>
      </w:r>
    </w:p>
    <w:p>
      <w:pPr>
        <w:pStyle w:val="FirstParagraph"/>
      </w:pPr>
      <w:r>
        <w:t xml:space="preserve">The system prompt below is passed verbatim to the chat-completion endpoint, with the 21 taxonomy codes and labels substituted at the placeholder. The user message is the string</w:t>
      </w:r>
      <w:r>
        <w:t xml:space="preserve"> </w:t>
      </w:r>
      <w:r>
        <w:t xml:space="preserve">“</w:t>
      </w:r>
      <w:r>
        <w:rPr>
          <w:rStyle w:val="VerbatimChar"/>
        </w:rPr>
        <w:t xml:space="preserve">SECTION: &lt;section_name&gt;</w:t>
      </w:r>
      <w:r>
        <w:t xml:space="preserve">”</w:t>
      </w:r>
      <w:r>
        <w:t xml:space="preserve"> </w:t>
      </w:r>
      <w:r>
        <w:t xml:space="preserve">followed by the focused section text, truncated to 14</w:t>
      </w:r>
      <w:r>
        <w:t xml:space="preserve">,</w:t>
      </w:r>
      <w:r>
        <w:t xml:space="preserve">000 characters. Decoding parameters: temperature 0, JSON-object response format, 2</w:t>
      </w:r>
      <w:r>
        <w:t xml:space="preserve">,</w:t>
      </w:r>
      <w:r>
        <w:t xml:space="preserve">000 completion tokens. Model identifier recorded during the October 2026 run:</w:t>
      </w:r>
      <w:r>
        <w:t xml:space="preserve"> </w:t>
      </w:r>
      <w:r>
        <w:rPr>
          <w:rStyle w:val="VerbatimChar"/>
        </w:rPr>
        <w:t xml:space="preserve">gpt-4o-mini-2024-07-18</w:t>
      </w:r>
      <w:r>
        <w:t xml:space="preserve">.</w:t>
      </w:r>
    </w:p>
    <w:p>
      <w:pPr>
        <w:pStyle w:val="SourceCode"/>
      </w:pPr>
      <w:r>
        <w:rPr>
          <w:rStyle w:val="VerbatimChar"/>
        </w:rPr>
        <w:t xml:space="preserve">You are a financial analyst extracting CORPORATE PROJECTS from SEC filing text.</w:t>
      </w:r>
      <w:r>
        <w:br/>
      </w:r>
      <w:r>
        <w:rPr>
          <w:rStyle w:val="VerbatimChar"/>
        </w:rPr>
        <w:t xml:space="preserve">A "project" is any concrete initiative, investment, program, expansion, construction,</w:t>
      </w:r>
      <w:r>
        <w:br/>
      </w:r>
      <w:r>
        <w:rPr>
          <w:rStyle w:val="VerbatimChar"/>
        </w:rPr>
        <w:t xml:space="preserve">product/R&amp;D effort, acquisition/integration, technology deployment, partnership, or</w:t>
      </w:r>
      <w:r>
        <w:br/>
      </w:r>
      <w:r>
        <w:rPr>
          <w:rStyle w:val="VerbatimChar"/>
        </w:rPr>
        <w:t xml:space="preserve">strategic program the company is pursuing.</w:t>
      </w:r>
      <w:r>
        <w:br/>
      </w:r>
      <w:r>
        <w:br/>
      </w:r>
      <w:r>
        <w:rPr>
          <w:rStyle w:val="VerbatimChar"/>
        </w:rPr>
        <w:t xml:space="preserve">Return STRICT JSON: {"projects": [ ... ]}. Each project object has:</w:t>
      </w:r>
      <w:r>
        <w:br/>
      </w:r>
      <w:r>
        <w:rPr>
          <w:rStyle w:val="VerbatimChar"/>
        </w:rPr>
        <w:t xml:space="preserve">  project_name  : short descriptive name (use the official name if one is stated)</w:t>
      </w:r>
      <w:r>
        <w:br/>
      </w:r>
      <w:r>
        <w:rPr>
          <w:rStyle w:val="VerbatimChar"/>
        </w:rPr>
        <w:t xml:space="preserve">  project_type  : EXACTLY ONE of the allowed types below</w:t>
      </w:r>
      <w:r>
        <w:br/>
      </w:r>
      <w:r>
        <w:rPr>
          <w:rStyle w:val="VerbatimChar"/>
        </w:rPr>
        <w:t xml:space="preserve">  description   : 1 sentence, grounded in the text (no speculation)</w:t>
      </w:r>
      <w:r>
        <w:br/>
      </w:r>
      <w:r>
        <w:rPr>
          <w:rStyle w:val="VerbatimChar"/>
        </w:rPr>
        <w:t xml:space="preserve">  objective     : the goal/why (or "")</w:t>
      </w:r>
      <w:r>
        <w:br/>
      </w:r>
      <w:r>
        <w:rPr>
          <w:rStyle w:val="VerbatimChar"/>
        </w:rPr>
        <w:t xml:space="preserve">  status        : one of planned | in_progress | completed | mentioned</w:t>
      </w:r>
      <w:r>
        <w:br/>
      </w:r>
      <w:r>
        <w:rPr>
          <w:rStyle w:val="VerbatimChar"/>
        </w:rPr>
        <w:t xml:space="preserve">  amount_usd    : numeric USD figure if stated (e.g. 1500000000), else null</w:t>
      </w:r>
      <w:r>
        <w:br/>
      </w:r>
      <w:r>
        <w:rPr>
          <w:rStyle w:val="VerbatimChar"/>
        </w:rPr>
        <w:t xml:space="preserve">  locations     : array of places (city/state/country), else []</w:t>
      </w:r>
      <w:r>
        <w:br/>
      </w:r>
      <w:r>
        <w:rPr>
          <w:rStyle w:val="VerbatimChar"/>
        </w:rPr>
        <w:t xml:space="preserve">  technologies  : array of technologies involved, else []</w:t>
      </w:r>
      <w:r>
        <w:br/>
      </w:r>
      <w:r>
        <w:rPr>
          <w:rStyle w:val="VerbatimChar"/>
        </w:rPr>
        <w:t xml:space="preserve">  partners      : array of named partners/JV counterparties, else []</w:t>
      </w:r>
      <w:r>
        <w:br/>
      </w:r>
      <w:r>
        <w:rPr>
          <w:rStyle w:val="VerbatimChar"/>
        </w:rPr>
        <w:t xml:space="preserve">  benefits      : array of expected benefits, else []</w:t>
      </w:r>
      <w:r>
        <w:br/>
      </w:r>
      <w:r>
        <w:rPr>
          <w:rStyle w:val="VerbatimChar"/>
        </w:rPr>
        <w:t xml:space="preserve">  risks         : array of stated risks, else []</w:t>
      </w:r>
      <w:r>
        <w:br/>
      </w:r>
      <w:r>
        <w:rPr>
          <w:rStyle w:val="VerbatimChar"/>
        </w:rPr>
        <w:t xml:space="preserve">  years         : array of 4-digit years mentioned, else []</w:t>
      </w:r>
      <w:r>
        <w:br/>
      </w:r>
      <w:r>
        <w:rPr>
          <w:rStyle w:val="VerbatimChar"/>
        </w:rPr>
        <w:t xml:space="preserve">  confidence    : 0.0-1.0 (how clearly this is a real, concrete project)</w:t>
      </w:r>
      <w:r>
        <w:br/>
      </w:r>
      <w:r>
        <w:br/>
      </w:r>
      <w:r>
        <w:rPr>
          <w:rStyle w:val="VerbatimChar"/>
        </w:rPr>
        <w:t xml:space="preserve">Allowed project_type values:</w:t>
      </w:r>
      <w:r>
        <w:br/>
      </w:r>
      <w:r>
        <w:rPr>
          <w:rStyle w:val="VerbatimChar"/>
        </w:rPr>
        <w:t xml:space="preserve">  - &lt;code&gt;: &lt;label&gt;   (the 21 taxonomy entries of Table A1)</w:t>
      </w:r>
      <w:r>
        <w:br/>
      </w:r>
      <w:r>
        <w:br/>
      </w:r>
      <w:r>
        <w:rPr>
          <w:rStyle w:val="VerbatimChar"/>
        </w:rPr>
        <w:t xml:space="preserve">Rules:</w:t>
      </w:r>
      <w:r>
        <w:br/>
      </w:r>
      <w:r>
        <w:rPr>
          <w:rStyle w:val="VerbatimChar"/>
        </w:rPr>
        <w:t xml:space="preserve">- Extract ONLY real initiatives, not generic risk-factor boilerplate or hypotheticals.</w:t>
      </w:r>
      <w:r>
        <w:br/>
      </w:r>
      <w:r>
        <w:rPr>
          <w:rStyle w:val="VerbatimChar"/>
        </w:rPr>
        <w:t xml:space="preserve">- If the text describes no concrete project, return {"projects": []}.</w:t>
      </w:r>
      <w:r>
        <w:br/>
      </w:r>
      <w:r>
        <w:rPr>
          <w:rStyle w:val="VerbatimChar"/>
        </w:rPr>
        <w:t xml:space="preserve">- Do not invent facts. Numbers/locations must appear in the text.</w:t>
      </w:r>
      <w:r>
        <w:br/>
      </w:r>
      <w:r>
        <w:rPr>
          <w:rStyle w:val="VerbatimChar"/>
        </w:rPr>
        <w:t xml:space="preserve">- Prefer fewer high-quality projects over many vague ones.</w:t>
      </w:r>
    </w:p>
    <w:p>
      <w:pPr>
        <w:pStyle w:val="FirstParagraph"/>
      </w:pPr>
      <w:r>
        <w:t xml:space="preserve">The candidate gate is the case-insensitive regular expression</w:t>
      </w:r>
      <w:r>
        <w:t xml:space="preserve"> </w:t>
      </w:r>
      <w:r>
        <w:rPr>
          <w:rStyle w:val="VerbatimChar"/>
        </w:rPr>
        <w:t xml:space="preserve">\b(project|initiative|program|invest|expan|construct|build|launch|develop|deploy|implement|acqui|partner|facilit|capacity|capital|migrat|transform|pipeline|plant|data ?cent|automat|sustainab|renewable|restructur)\w*</w:t>
      </w:r>
      <w:r>
        <w:t xml:space="preserve">. Sections without a match, or with fewer than 30 words, are not submitted.</w:t>
      </w:r>
    </w:p>
    <w:bookmarkEnd w:id="85"/>
    <w:bookmarkStart w:id="86" w:name="c-data-dictionary-and-data-model-audit"/>
    <w:p>
      <w:pPr>
        <w:pStyle w:val="Heading1"/>
      </w:pPr>
      <w:r>
        <w:t xml:space="preserve">C Data dictionary and data-model audit</w:t>
      </w:r>
    </w:p>
    <w:p>
      <w:pPr>
        <w:pStyle w:val="TableCaption"/>
      </w:pPr>
      <w:r>
        <w:t xml:space="preserve">Table 12: Tables required by the research design, current implementation and status</w:t>
      </w:r>
    </w:p>
    <w:tbl>
      <w:tblPr>
        <w:tblStyle w:val="Table"/>
        <w:tblW w:type="auto" w:w="0"/>
        <w:tblLook w:firstRow="1" w:lastRow="0" w:firstColumn="0" w:lastColumn="0" w:noHBand="0" w:noVBand="0" w:val="0020"/>
        <w:tblCaption w:val="Table 12: Tables required by the research design, current implementation and status"/>
      </w:tblPr>
      <w:tblGrid>
        <w:gridCol w:w="2640"/>
        <w:gridCol w:w="2640"/>
        <w:gridCol w:w="2640"/>
      </w:tblGrid>
      <w:tr>
        <w:trPr>
          <w:tblHeader w:val="on"/>
        </w:trPr>
        <w:tc>
          <w:tcPr/>
          <w:p>
            <w:pPr>
              <w:pStyle w:val="Compact"/>
              <w:jc w:val="left"/>
            </w:pPr>
            <w:r>
              <w:t xml:space="preserve">Required table</w:t>
            </w:r>
          </w:p>
        </w:tc>
        <w:tc>
          <w:tcPr/>
          <w:p>
            <w:pPr>
              <w:pStyle w:val="Compact"/>
              <w:jc w:val="left"/>
            </w:pPr>
            <w:r>
              <w:t xml:space="preserve">Current implementation (database, table, key fields)</w:t>
            </w:r>
          </w:p>
        </w:tc>
        <w:tc>
          <w:tcPr/>
          <w:p>
            <w:pPr>
              <w:pStyle w:val="Compact"/>
              <w:jc w:val="left"/>
            </w:pPr>
            <w:r>
              <w:t xml:space="preserve">Status</w:t>
            </w:r>
          </w:p>
        </w:tc>
      </w:tr>
      <w:tr>
        <w:tc>
          <w:tcPr/>
          <w:p>
            <w:pPr>
              <w:pStyle w:val="Compact"/>
              <w:jc w:val="left"/>
            </w:pPr>
            <w:r>
              <w:rPr>
                <w:rStyle w:val="VerbatimChar"/>
              </w:rPr>
              <w:t xml:space="preserve">universe_snapshots</w:t>
            </w:r>
          </w:p>
        </w:tc>
        <w:tc>
          <w:tcPr/>
          <w:p>
            <w:pPr>
              <w:pStyle w:val="Compact"/>
              <w:jc w:val="left"/>
            </w:pPr>
            <w:r>
              <w:rPr>
                <w:rStyle w:val="VerbatimChar"/>
              </w:rPr>
              <w:t xml:space="preserve">data/metadata/universe.json</w:t>
            </w:r>
            <w:r>
              <w:t xml:space="preserve"> </w:t>
            </w:r>
            <w:r>
              <w:t xml:space="preserve">+</w:t>
            </w:r>
            <w:r>
              <w:t xml:space="preserve"> </w:t>
            </w:r>
            <w:r>
              <w:rPr>
                <w:rStyle w:val="VerbatimChar"/>
              </w:rPr>
              <w:t xml:space="preserve">companies</w:t>
            </w:r>
            <w:r>
              <w:t xml:space="preserve"> </w:t>
            </w:r>
            <w:r>
              <w:t xml:space="preserve">(CIK, ticker(s), name, sector, flags</w:t>
            </w:r>
            <w:r>
              <w:t xml:space="preserve"> </w:t>
            </w:r>
            <w:r>
              <w:rPr>
                <w:rStyle w:val="VerbatimChar"/>
              </w:rPr>
              <w:t xml:space="preserve">in_sp500</w:t>
            </w:r>
            <w:r>
              <w:t xml:space="preserve">/</w:t>
            </w:r>
            <w:r>
              <w:rPr>
                <w:rStyle w:val="VerbatimChar"/>
              </w:rPr>
              <w:t xml:space="preserve">in_russell3000</w:t>
            </w:r>
            <w:r>
              <w:t xml:space="preserve">, fund weight, SIC, state, exchange, FYE, shard); snapshot date and source URL recorded</w:t>
            </w:r>
          </w:p>
        </w:tc>
        <w:tc>
          <w:tcPr/>
          <w:p>
            <w:pPr>
              <w:pStyle w:val="Compact"/>
              <w:jc w:val="left"/>
            </w:pPr>
            <w:r>
              <w:t xml:space="preserve">Partial: no file hash, no membership dates, no match confidence</w:t>
            </w:r>
          </w:p>
        </w:tc>
      </w:tr>
      <w:tr>
        <w:tc>
          <w:tcPr/>
          <w:p>
            <w:pPr>
              <w:pStyle w:val="Compact"/>
              <w:jc w:val="left"/>
            </w:pPr>
            <w:r>
              <w:rPr>
                <w:rStyle w:val="VerbatimChar"/>
              </w:rPr>
              <w:t xml:space="preserve">issuers</w:t>
            </w:r>
          </w:p>
        </w:tc>
        <w:tc>
          <w:tcPr/>
          <w:p>
            <w:pPr>
              <w:pStyle w:val="Compact"/>
              <w:jc w:val="left"/>
            </w:pPr>
            <w:r>
              <w:rPr>
                <w:rStyle w:val="VerbatimChar"/>
              </w:rPr>
              <w:t xml:space="preserve">companies</w:t>
            </w:r>
            <w:r>
              <w:t xml:space="preserve"> </w:t>
            </w:r>
            <w:r>
              <w:t xml:space="preserve">(one row per CIK; former names from SEC header stored in metadata JSON only)</w:t>
            </w:r>
          </w:p>
        </w:tc>
        <w:tc>
          <w:tcPr/>
          <w:p>
            <w:pPr>
              <w:pStyle w:val="Compact"/>
              <w:jc w:val="left"/>
            </w:pPr>
            <w:r>
              <w:t xml:space="preserve">Partial: no name history, no parent/subsidiary links</w:t>
            </w:r>
          </w:p>
        </w:tc>
      </w:tr>
      <w:tr>
        <w:tc>
          <w:tcPr/>
          <w:p>
            <w:pPr>
              <w:pStyle w:val="Compact"/>
              <w:jc w:val="left"/>
            </w:pPr>
            <w:r>
              <w:rPr>
                <w:rStyle w:val="VerbatimChar"/>
              </w:rPr>
              <w:t xml:space="preserve">filings</w:t>
            </w:r>
          </w:p>
        </w:tc>
        <w:tc>
          <w:tcPr/>
          <w:p>
            <w:pPr>
              <w:pStyle w:val="Compact"/>
              <w:jc w:val="left"/>
            </w:pPr>
            <w:r>
              <w:rPr>
                <w:rStyle w:val="VerbatimChar"/>
              </w:rPr>
              <w:t xml:space="preserve">filings</w:t>
            </w:r>
            <w:r>
              <w:t xml:space="preserve"> </w:t>
            </w:r>
            <w:r>
              <w:t xml:space="preserve">(accession PK, CIK FK, form, filing/report dates, SEC URL, local path, size, download and parse status)</w:t>
            </w:r>
          </w:p>
        </w:tc>
        <w:tc>
          <w:tcPr/>
          <w:p>
            <w:pPr>
              <w:pStyle w:val="Compact"/>
              <w:jc w:val="left"/>
            </w:pPr>
            <w:r>
              <w:t xml:space="preserve">Implemented; no acceptance timestamp, no checksum</w:t>
            </w:r>
          </w:p>
        </w:tc>
      </w:tr>
      <w:tr>
        <w:tc>
          <w:tcPr/>
          <w:p>
            <w:pPr>
              <w:pStyle w:val="Compact"/>
              <w:jc w:val="left"/>
            </w:pPr>
            <w:r>
              <w:rPr>
                <w:rStyle w:val="VerbatimChar"/>
              </w:rPr>
              <w:t xml:space="preserve">sections</w:t>
            </w:r>
          </w:p>
        </w:tc>
        <w:tc>
          <w:tcPr/>
          <w:p>
            <w:pPr>
              <w:pStyle w:val="Compact"/>
              <w:jc w:val="left"/>
            </w:pPr>
            <w:r>
              <w:rPr>
                <w:rStyle w:val="VerbatimChar"/>
              </w:rPr>
              <w:t xml:space="preserve">filing_sections</w:t>
            </w:r>
            <w:r>
              <w:t xml:space="preserve"> </w:t>
            </w:r>
            <w:r>
              <w:t xml:space="preserve">(UUID PK, accession FK, name, item, order, text, counts)</w:t>
            </w:r>
          </w:p>
        </w:tc>
        <w:tc>
          <w:tcPr/>
          <w:p>
            <w:pPr>
              <w:pStyle w:val="Compact"/>
              <w:jc w:val="left"/>
            </w:pPr>
            <w:r>
              <w:t xml:space="preserve">Implemented; no character offsets into raw HTML</w:t>
            </w:r>
          </w:p>
        </w:tc>
      </w:tr>
      <w:tr>
        <w:tc>
          <w:tcPr/>
          <w:p>
            <w:pPr>
              <w:pStyle w:val="Compact"/>
              <w:jc w:val="left"/>
            </w:pPr>
            <w:r>
              <w:rPr>
                <w:rStyle w:val="VerbatimChar"/>
              </w:rPr>
              <w:t xml:space="preserve">project_mentions</w:t>
            </w:r>
          </w:p>
        </w:tc>
        <w:tc>
          <w:tcPr/>
          <w:p>
            <w:pPr>
              <w:pStyle w:val="Compact"/>
              <w:jc w:val="left"/>
            </w:pPr>
            <w:r>
              <w:rPr>
                <w:rStyle w:val="VerbatimChar"/>
              </w:rPr>
              <w:t xml:space="preserve">project_mentions</w:t>
            </w:r>
            <w:r>
              <w:t xml:space="preserve"> </w:t>
            </w:r>
            <w:r>
              <w:t xml:space="preserve">(SHA-1 id, accession, CIK, section id, name, type, description, objective, amount, raw amount, lists, years, status, confidence, backend, issuer context)</w:t>
            </w:r>
          </w:p>
        </w:tc>
        <w:tc>
          <w:tcPr/>
          <w:p>
            <w:pPr>
              <w:pStyle w:val="Compact"/>
              <w:jc w:val="left"/>
            </w:pPr>
            <w:r>
              <w:t xml:space="preserve">Implemented; no evidence span, no prompt hash, no five-way label</w:t>
            </w:r>
          </w:p>
        </w:tc>
      </w:tr>
      <w:tr>
        <w:tc>
          <w:tcPr/>
          <w:p>
            <w:pPr>
              <w:pStyle w:val="Compact"/>
              <w:jc w:val="left"/>
            </w:pPr>
            <w:r>
              <w:rPr>
                <w:rStyle w:val="VerbatimChar"/>
              </w:rPr>
              <w:t xml:space="preserve">projects</w:t>
            </w:r>
          </w:p>
        </w:tc>
        <w:tc>
          <w:tcPr/>
          <w:p>
            <w:pPr>
              <w:pStyle w:val="Compact"/>
              <w:jc w:val="left"/>
            </w:pPr>
            <w:r>
              <w:rPr>
                <w:rStyle w:val="VerbatimChar"/>
              </w:rPr>
              <w:t xml:space="preserve">projects</w:t>
            </w:r>
            <w:r>
              <w:t xml:space="preserve"> </w:t>
            </w:r>
            <w:r>
              <w:t xml:space="preserve">(MD5 of CIK</w:t>
            </w:r>
            <m:oMath>
              <m:r>
                <m:rPr>
                  <m:sty m:val="p"/>
                </m:rPr>
                <m:t>|</m:t>
              </m:r>
            </m:oMath>
            <w:r>
              <w:t xml:space="preserve">type</w:t>
            </w:r>
            <m:oMath>
              <m:r>
                <m:rPr>
                  <m:sty m:val="p"/>
                </m:rPr>
                <m:t>|</m:t>
              </m:r>
            </m:oMath>
            <w:r>
              <w:t xml:space="preserve">location-or-name, representative fields, max amount, counts, first/last seen and cited years)</w:t>
            </w:r>
          </w:p>
        </w:tc>
        <w:tc>
          <w:tcPr/>
          <w:p>
            <w:pPr>
              <w:pStyle w:val="Compact"/>
              <w:jc w:val="left"/>
            </w:pPr>
            <w:r>
              <w:t xml:space="preserve">Implemented (deterministic key)</w:t>
            </w:r>
          </w:p>
        </w:tc>
      </w:tr>
      <w:tr>
        <w:tc>
          <w:tcPr/>
          <w:p>
            <w:pPr>
              <w:pStyle w:val="Compact"/>
              <w:jc w:val="left"/>
            </w:pPr>
            <w:r>
              <w:rPr>
                <w:rStyle w:val="VerbatimChar"/>
              </w:rPr>
              <w:t xml:space="preserve">project_mention_links</w:t>
            </w:r>
          </w:p>
        </w:tc>
        <w:tc>
          <w:tcPr/>
          <w:p>
            <w:pPr>
              <w:pStyle w:val="Compact"/>
              <w:jc w:val="left"/>
            </w:pPr>
            <w:r>
              <w:t xml:space="preserve">implicit in the key (every mention maps to exactly one project)</w:t>
            </w:r>
          </w:p>
        </w:tc>
        <w:tc>
          <w:tcPr/>
          <w:p>
            <w:pPr>
              <w:pStyle w:val="Compact"/>
              <w:jc w:val="left"/>
            </w:pPr>
            <w:r>
              <w:t xml:space="preserve">Proposed: explicit table with score, resolver version, adjudication</w:t>
            </w:r>
          </w:p>
        </w:tc>
      </w:tr>
      <w:tr>
        <w:tc>
          <w:tcPr/>
          <w:p>
            <w:pPr>
              <w:pStyle w:val="Compact"/>
              <w:jc w:val="left"/>
            </w:pPr>
            <w:r>
              <w:rPr>
                <w:rStyle w:val="VerbatimChar"/>
              </w:rPr>
              <w:t xml:space="preserve">project_events</w:t>
            </w:r>
          </w:p>
        </w:tc>
        <w:tc>
          <w:tcPr/>
          <w:p>
            <w:pPr>
              <w:pStyle w:val="Compact"/>
              <w:jc w:val="left"/>
            </w:pPr>
            <w:r>
              <w:rPr>
                <w:rStyle w:val="VerbatimChar"/>
              </w:rPr>
              <w:t xml:space="preserve">project_timeline</w:t>
            </w:r>
            <w:r>
              <w:t xml:space="preserve"> </w:t>
            </w:r>
            <w:r>
              <w:t xml:space="preserve">(one row per mention: date, form, status, amount, confidence, snippet)</w:t>
            </w:r>
          </w:p>
        </w:tc>
        <w:tc>
          <w:tcPr/>
          <w:p>
            <w:pPr>
              <w:pStyle w:val="Compact"/>
              <w:jc w:val="left"/>
            </w:pPr>
            <w:r>
              <w:t xml:space="preserve">Partial: mention rows, not typed events</w:t>
            </w:r>
          </w:p>
        </w:tc>
      </w:tr>
      <w:tr>
        <w:tc>
          <w:tcPr/>
          <w:p>
            <w:pPr>
              <w:pStyle w:val="Compact"/>
              <w:jc w:val="left"/>
            </w:pPr>
            <w:r>
              <w:rPr>
                <w:rStyle w:val="VerbatimChar"/>
              </w:rPr>
              <w:t xml:space="preserve">project_amounts</w:t>
            </w:r>
          </w:p>
        </w:tc>
        <w:tc>
          <w:tcPr/>
          <w:p>
            <w:pPr>
              <w:pStyle w:val="Compact"/>
              <w:jc w:val="left"/>
            </w:pPr>
            <w:r>
              <w:rPr>
                <w:rStyle w:val="VerbatimChar"/>
              </w:rPr>
              <w:t xml:space="preserve">amount_usd</w:t>
            </w:r>
            <w:r>
              <w:t xml:space="preserve">/</w:t>
            </w:r>
            <w:r>
              <w:rPr>
                <w:rStyle w:val="VerbatimChar"/>
              </w:rPr>
              <w:t xml:space="preserve">amount_raw</w:t>
            </w:r>
            <w:r>
              <w:t xml:space="preserve"> </w:t>
            </w:r>
            <w:r>
              <w:t xml:space="preserve">on mentions; max on projects</w:t>
            </w:r>
          </w:p>
        </w:tc>
        <w:tc>
          <w:tcPr/>
          <w:p>
            <w:pPr>
              <w:pStyle w:val="Compact"/>
              <w:jc w:val="left"/>
            </w:pPr>
            <w:r>
              <w:t xml:space="preserve">Proposed: type, currency, scale, basis, realization flag</w:t>
            </w:r>
          </w:p>
        </w:tc>
      </w:tr>
      <w:tr>
        <w:tc>
          <w:tcPr/>
          <w:p>
            <w:pPr>
              <w:pStyle w:val="Compact"/>
              <w:jc w:val="left"/>
            </w:pPr>
            <w:r>
              <w:rPr>
                <w:rStyle w:val="VerbatimChar"/>
              </w:rPr>
              <w:t xml:space="preserve">extraction_runs</w:t>
            </w:r>
          </w:p>
        </w:tc>
        <w:tc>
          <w:tcPr/>
          <w:p>
            <w:pPr>
              <w:pStyle w:val="Compact"/>
              <w:jc w:val="left"/>
            </w:pPr>
            <w:r>
              <w:rPr>
                <w:rStyle w:val="VerbatimChar"/>
              </w:rPr>
              <w:t xml:space="preserve">extracted_sections</w:t>
            </w:r>
            <w:r>
              <w:t xml:space="preserve"> </w:t>
            </w:r>
            <w:r>
              <w:t xml:space="preserve">ledger (section, accession, backend, n_mentions, timestamp) + run logs</w:t>
            </w:r>
          </w:p>
        </w:tc>
        <w:tc>
          <w:tcPr/>
          <w:p>
            <w:pPr>
              <w:pStyle w:val="Compact"/>
              <w:jc w:val="left"/>
            </w:pPr>
            <w:r>
              <w:t xml:space="preserve">Partial: no prompt/schema/taxonomy hashes, no call status</w:t>
            </w:r>
          </w:p>
        </w:tc>
      </w:tr>
      <w:tr>
        <w:tc>
          <w:tcPr/>
          <w:p>
            <w:pPr>
              <w:pStyle w:val="Compact"/>
              <w:jc w:val="left"/>
            </w:pPr>
            <w:r>
              <w:rPr>
                <w:rStyle w:val="VerbatimChar"/>
              </w:rPr>
              <w:t xml:space="preserve">human_labels</w:t>
            </w:r>
          </w:p>
        </w:tc>
        <w:tc>
          <w:tcPr/>
          <w:p>
            <w:pPr>
              <w:pStyle w:val="Compact"/>
              <w:jc w:val="left"/>
            </w:pPr>
            <w:r>
              <w:t xml:space="preserve">—</w:t>
            </w:r>
          </w:p>
        </w:tc>
        <w:tc>
          <w:tcPr/>
          <w:p>
            <w:pPr>
              <w:pStyle w:val="Compact"/>
              <w:jc w:val="left"/>
            </w:pPr>
            <w:r>
              <w:t xml:space="preserve">Proposed</w:t>
            </w:r>
          </w:p>
        </w:tc>
      </w:tr>
    </w:tbl>
    <w:p>
      <w:pPr>
        <w:pStyle w:val="BodyText"/>
      </w:pPr>
      <w:r>
        <w:t xml:space="preserve">The full field-level dictionary of the current tables is maintained in</w:t>
      </w:r>
      <w:r>
        <w:t xml:space="preserve"> </w:t>
      </w:r>
      <w:r>
        <w:rPr>
          <w:rStyle w:val="VerbatimChar"/>
        </w:rPr>
        <w:t xml:space="preserve">docs/data_dictionary.md</w:t>
      </w:r>
      <w:r>
        <w:t xml:space="preserve"> </w:t>
      </w:r>
      <w:r>
        <w:t xml:space="preserve">of the working-paper folder and in the repository documentation.</w:t>
      </w:r>
    </w:p>
    <w:bookmarkEnd w:id="86"/>
    <w:bookmarkStart w:id="87" w:name="d-evidence-register"/>
    <w:p>
      <w:pPr>
        <w:pStyle w:val="Heading1"/>
      </w:pPr>
      <w:r>
        <w:t xml:space="preserve">D Evidence register</w:t>
      </w:r>
    </w:p>
    <w:p>
      <w:pPr>
        <w:pStyle w:val="TableCaption"/>
      </w:pPr>
      <w:r>
        <w:t xml:space="preserve">Table 13: Evidence register: status of the main claims of this paper at revision</w:t>
      </w:r>
      <w:r>
        <w:t xml:space="preserve"> </w:t>
      </w:r>
      <w:r>
        <w:rPr>
          <w:rStyle w:val="VerbatimChar"/>
        </w:rPr>
        <w:t xml:space="preserve">2324b58</w:t>
      </w:r>
    </w:p>
    <w:tbl>
      <w:tblPr>
        <w:tblStyle w:val="Table"/>
        <w:tblW w:type="auto" w:w="0"/>
        <w:tblLook w:firstRow="1" w:lastRow="0" w:firstColumn="0" w:lastColumn="0" w:noHBand="0" w:noVBand="0" w:val="0020"/>
        <w:tblCaption w:val="Table 13: Evidence register: status of the main claims of this paper at revision 2324b58"/>
      </w:tblPr>
      <w:tblGrid>
        <w:gridCol w:w="3960"/>
        <w:gridCol w:w="3960"/>
      </w:tblGrid>
      <w:tr>
        <w:trPr>
          <w:tblHeader w:val="on"/>
        </w:trPr>
        <w:tc>
          <w:tcPr/>
          <w:p>
            <w:pPr>
              <w:pStyle w:val="Compact"/>
              <w:jc w:val="left"/>
            </w:pPr>
            <w:r>
              <w:t xml:space="preserve">Claim</w:t>
            </w:r>
          </w:p>
        </w:tc>
        <w:tc>
          <w:tcPr/>
          <w:p>
            <w:pPr>
              <w:pStyle w:val="Compact"/>
              <w:jc w:val="left"/>
            </w:pPr>
            <w:r>
              <w:t xml:space="preserve">Status</w:t>
            </w:r>
          </w:p>
        </w:tc>
      </w:tr>
      <w:tr>
        <w:tc>
          <w:tcPr/>
          <w:p>
            <w:pPr>
              <w:pStyle w:val="Compact"/>
              <w:jc w:val="left"/>
            </w:pPr>
            <w:r>
              <w:t xml:space="preserve">Universe of 2</w:t>
            </w:r>
            <w:r>
              <w:t xml:space="preserve">,</w:t>
            </w:r>
            <w:r>
              <w:t xml:space="preserve">564 issuers built from the IWV holdings file (2026-10-23) and the S&amp;P 500 cache (2026-05-25)</w:t>
            </w:r>
          </w:p>
        </w:tc>
        <w:tc>
          <w:tcPr/>
          <w:p>
            <w:pPr>
              <w:pStyle w:val="Compact"/>
              <w:jc w:val="left"/>
            </w:pPr>
            <w:r>
              <w:t xml:space="preserve">Implemented, verified (artifact counts)</w:t>
            </w:r>
          </w:p>
        </w:tc>
      </w:tr>
      <w:tr>
        <w:tc>
          <w:tcPr/>
          <w:p>
            <w:pPr>
              <w:pStyle w:val="Compact"/>
              <w:jc w:val="left"/>
            </w:pPr>
            <w:r>
              <w:t xml:space="preserve">527</w:t>
            </w:r>
            <w:r>
              <w:t xml:space="preserve">,</w:t>
            </w:r>
            <w:r>
              <w:t xml:space="preserve">548 primary documents of Forms 10-K/10-Q/8-K since 2010 downloaded; 16 unparsed</w:t>
            </w:r>
          </w:p>
        </w:tc>
        <w:tc>
          <w:tcPr/>
          <w:p>
            <w:pPr>
              <w:pStyle w:val="Compact"/>
              <w:jc w:val="left"/>
            </w:pPr>
            <w:r>
              <w:t xml:space="preserve">Implemented, verified (database counts)</w:t>
            </w:r>
          </w:p>
        </w:tc>
      </w:tr>
      <w:tr>
        <w:tc>
          <w:tcPr/>
          <w:p>
            <w:pPr>
              <w:pStyle w:val="Compact"/>
              <w:jc w:val="left"/>
            </w:pPr>
            <w:r>
              <w:t xml:space="preserve">Acquisition respected the SEC rate limit (aggregate token bucket; no 403 recorded)</w:t>
            </w:r>
          </w:p>
        </w:tc>
        <w:tc>
          <w:tcPr/>
          <w:p>
            <w:pPr>
              <w:pStyle w:val="Compact"/>
              <w:jc w:val="left"/>
            </w:pPr>
            <w:r>
              <w:t xml:space="preserve">Implemented; documented from run logs</w:t>
            </w:r>
          </w:p>
        </w:tc>
      </w:tr>
      <w:tr>
        <w:tc>
          <w:tcPr/>
          <w:p>
            <w:pPr>
              <w:pStyle w:val="Compact"/>
              <w:jc w:val="left"/>
            </w:pPr>
            <w:r>
              <w:t xml:space="preserve">1</w:t>
            </w:r>
            <w:r>
              <w:t xml:space="preserve">,</w:t>
            </w:r>
            <w:r>
              <w:t xml:space="preserve">342</w:t>
            </w:r>
            <w:r>
              <w:t xml:space="preserve">,</w:t>
            </w:r>
            <w:r>
              <w:t xml:space="preserve">283 sections, 10</w:t>
            </w:r>
            <w:r>
              <w:t xml:space="preserve">,</w:t>
            </w:r>
            <w:r>
              <w:t xml:space="preserve">720</w:t>
            </w:r>
            <w:r>
              <w:t xml:space="preserve">,</w:t>
            </w:r>
            <w:r>
              <w:t xml:space="preserve">890 chunks and embeddings; factor panels for 2</w:t>
            </w:r>
            <w:r>
              <w:t xml:space="preserve">,</w:t>
            </w:r>
            <w:r>
              <w:t xml:space="preserve">501 firms</w:t>
            </w:r>
          </w:p>
        </w:tc>
        <w:tc>
          <w:tcPr/>
          <w:p>
            <w:pPr>
              <w:pStyle w:val="Compact"/>
              <w:jc w:val="left"/>
            </w:pPr>
            <w:r>
              <w:t xml:space="preserve">Implemented, verified</w:t>
            </w:r>
          </w:p>
        </w:tc>
      </w:tr>
      <w:tr>
        <w:tc>
          <w:tcPr/>
          <w:p>
            <w:pPr>
              <w:pStyle w:val="Compact"/>
              <w:jc w:val="left"/>
            </w:pPr>
            <w:r>
              <w:t xml:space="preserve">1</w:t>
            </w:r>
            <w:r>
              <w:t xml:space="preserve">,</w:t>
            </w:r>
            <w:r>
              <w:t xml:space="preserve">123</w:t>
            </w:r>
            <w:r>
              <w:t xml:space="preserve">,</w:t>
            </w:r>
            <w:r>
              <w:t xml:space="preserve">098 sections submitted to the extractor; ledger free of outage artifacts</w:t>
            </w:r>
          </w:p>
        </w:tc>
        <w:tc>
          <w:tcPr/>
          <w:p>
            <w:pPr>
              <w:pStyle w:val="Compact"/>
              <w:jc w:val="left"/>
            </w:pPr>
            <w:r>
              <w:t xml:space="preserve">Implemented, verified after manual audit of the outage window</w:t>
            </w:r>
          </w:p>
        </w:tc>
      </w:tr>
      <w:tr>
        <w:tc>
          <w:tcPr/>
          <w:p>
            <w:pPr>
              <w:pStyle w:val="Compact"/>
              <w:jc w:val="left"/>
            </w:pPr>
            <w:r>
              <w:t xml:space="preserve">308</w:t>
            </w:r>
            <w:r>
              <w:t xml:space="preserve">,</w:t>
            </w:r>
            <w:r>
              <w:t xml:space="preserve">065 mentions, 121</w:t>
            </w:r>
            <w:r>
              <w:t xml:space="preserve">,</w:t>
            </w:r>
            <w:r>
              <w:t xml:space="preserve">099 projects, graph of 183</w:t>
            </w:r>
            <w:r>
              <w:t xml:space="preserve">,</w:t>
            </w:r>
            <w:r>
              <w:t xml:space="preserve">472 nodes</w:t>
            </w:r>
          </w:p>
        </w:tc>
        <w:tc>
          <w:tcPr/>
          <w:p>
            <w:pPr>
              <w:pStyle w:val="Compact"/>
              <w:jc w:val="left"/>
            </w:pPr>
            <w:r>
              <w:t xml:space="preserve">Implemented, verified</w:t>
            </w:r>
          </w:p>
        </w:tc>
      </w:tr>
      <w:tr>
        <w:tc>
          <w:tcPr/>
          <w:p>
            <w:pPr>
              <w:pStyle w:val="Compact"/>
              <w:jc w:val="left"/>
            </w:pPr>
            <w:r>
              <w:t xml:space="preserve">Each mention grounded in its source section</w:t>
            </w:r>
          </w:p>
        </w:tc>
        <w:tc>
          <w:tcPr/>
          <w:p>
            <w:pPr>
              <w:pStyle w:val="Compact"/>
              <w:jc w:val="left"/>
            </w:pPr>
            <w:r>
              <w:t xml:space="preserve">Documented (prompt rule), not mechanically verified</w:t>
            </w:r>
          </w:p>
        </w:tc>
      </w:tr>
      <w:tr>
        <w:tc>
          <w:tcPr/>
          <w:p>
            <w:pPr>
              <w:pStyle w:val="Compact"/>
              <w:jc w:val="left"/>
            </w:pPr>
            <w:r>
              <w:t xml:space="preserve">Extraction precision/recall, category accuracy, field accuracy, calibration</w:t>
            </w:r>
          </w:p>
        </w:tc>
        <w:tc>
          <w:tcPr/>
          <w:p>
            <w:pPr>
              <w:pStyle w:val="Compact"/>
              <w:jc w:val="left"/>
            </w:pPr>
            <w:r>
              <w:t xml:space="preserve">Not measured (protocol specified)</w:t>
            </w:r>
          </w:p>
        </w:tc>
      </w:tr>
      <w:tr>
        <w:tc>
          <w:tcPr/>
          <w:p>
            <w:pPr>
              <w:pStyle w:val="Compact"/>
              <w:jc w:val="left"/>
            </w:pPr>
            <w:r>
              <w:t xml:space="preserve">Linkage precision/recall of the resolution key</w:t>
            </w:r>
          </w:p>
        </w:tc>
        <w:tc>
          <w:tcPr/>
          <w:p>
            <w:pPr>
              <w:pStyle w:val="Compact"/>
              <w:jc w:val="left"/>
            </w:pPr>
            <w:r>
              <w:t xml:space="preserve">Not measured; failure modes documented with examples</w:t>
            </w:r>
          </w:p>
        </w:tc>
      </w:tr>
      <w:tr>
        <w:tc>
          <w:tcPr/>
          <w:p>
            <w:pPr>
              <w:pStyle w:val="Compact"/>
              <w:jc w:val="left"/>
            </w:pPr>
            <w:r>
              <w:t xml:space="preserve">Amounts typed and separated from realized expenditure</w:t>
            </w:r>
          </w:p>
        </w:tc>
        <w:tc>
          <w:tcPr/>
          <w:p>
            <w:pPr>
              <w:pStyle w:val="Compact"/>
              <w:jc w:val="left"/>
            </w:pPr>
            <w:r>
              <w:t xml:space="preserve">Not implemented (proposed)</w:t>
            </w:r>
          </w:p>
        </w:tc>
      </w:tr>
      <w:tr>
        <w:tc>
          <w:tcPr/>
          <w:p>
            <w:pPr>
              <w:pStyle w:val="Compact"/>
              <w:jc w:val="left"/>
            </w:pPr>
            <w:r>
              <w:t xml:space="preserve">Dated project events and point-in-time revision flags</w:t>
            </w:r>
          </w:p>
        </w:tc>
        <w:tc>
          <w:tcPr/>
          <w:p>
            <w:pPr>
              <w:pStyle w:val="Compact"/>
              <w:jc w:val="left"/>
            </w:pPr>
            <w:r>
              <w:t xml:space="preserve">Not implemented (mention-level timeline only)</w:t>
            </w:r>
          </w:p>
        </w:tc>
      </w:tr>
      <w:tr>
        <w:tc>
          <w:tcPr/>
          <w:p>
            <w:pPr>
              <w:pStyle w:val="Compact"/>
              <w:jc w:val="left"/>
            </w:pPr>
            <w:r>
              <w:t xml:space="preserve">Human-coded gold standard with two annotators and adjudication</w:t>
            </w:r>
          </w:p>
        </w:tc>
        <w:tc>
          <w:tcPr/>
          <w:p>
            <w:pPr>
              <w:pStyle w:val="Compact"/>
              <w:jc w:val="left"/>
            </w:pPr>
            <w:r>
              <w:t xml:space="preserve">Proposed</w:t>
            </w:r>
          </w:p>
        </w:tc>
      </w:tr>
      <w:tr>
        <w:tc>
          <w:tcPr/>
          <w:p>
            <w:pPr>
              <w:pStyle w:val="Compact"/>
              <w:jc w:val="left"/>
            </w:pPr>
            <w:r>
              <w:t xml:space="preserve">Author order, affiliations and CRediT contributions</w:t>
            </w:r>
          </w:p>
        </w:tc>
        <w:tc>
          <w:tcPr/>
          <w:p>
            <w:pPr>
              <w:pStyle w:val="Compact"/>
              <w:jc w:val="left"/>
            </w:pPr>
            <w:r>
              <w:t xml:space="preserve">Pending confirmation by the three coauthors</w:t>
            </w:r>
          </w:p>
        </w:tc>
      </w:tr>
    </w:tbl>
    <w:bookmarkEnd w:id="87"/>
    <w:bookmarkStart w:id="88" w:name="e-additional-tables"/>
    <w:p>
      <w:pPr>
        <w:pStyle w:val="Heading1"/>
      </w:pPr>
      <w:r>
        <w:t xml:space="preserve">E Additional tables</w:t>
      </w:r>
    </w:p>
    <w:p>
      <w:pPr>
        <w:pStyle w:val="TableCaption"/>
      </w:pPr>
      <w:r>
        <w:t xml:space="preserve">Table 14: Coverage by filing year</w:t>
      </w:r>
    </w:p>
    <w:tbl>
      <w:tblPr>
        <w:tblStyle w:val="Table"/>
        <w:tblW w:type="dxa" w:w="9792"/>
        <w:tblLayout w:type="fixed"/>
        <w:tblLook w:firstRow="1" w:lastRow="0" w:firstColumn="0" w:lastColumn="0" w:noHBand="0" w:noVBand="0" w:val="0020"/>
        <w:tblCaption w:val="Table 14: Coverage by filing year"/>
      </w:tblPr>
      <w:tblGrid>
        <w:gridCol w:w="768"/>
        <w:gridCol w:w="1344"/>
        <w:gridCol w:w="960"/>
        <w:gridCol w:w="960"/>
        <w:gridCol w:w="1152"/>
        <w:gridCol w:w="1536"/>
        <w:gridCol w:w="1536"/>
        <w:gridCol w:w="1536"/>
      </w:tblGrid>
      <w:tr>
        <w:trPr>
          <w:tblHeader w:val="on"/>
        </w:trPr>
        <w:tc>
          <w:tcPr>
            <w:tcW w:type="dxa" w:w="768"/>
            <w:tcMar>
              <w:left w:w="30" w:type="dxa"/>
              <w:right w:w="30" w:type="dxa"/>
            </w:tcMar>
          </w:tcPr>
          <w:p>
            <w:pPr>
              <w:pStyle w:val="Compact"/>
              <w:spacing w:after="0" w:before="0"/>
              <w:jc w:val="left"/>
            </w:pPr>
            <w:r>
              <w:rPr>
                <w:sz w:val="16"/>
              </w:rPr>
              <w:t xml:space="preserve">Year</w:t>
            </w:r>
          </w:p>
        </w:tc>
        <w:tc>
          <w:tcPr>
            <w:tcW w:type="dxa" w:w="1344"/>
            <w:tcMar>
              <w:left w:w="30" w:type="dxa"/>
              <w:right w:w="30" w:type="dxa"/>
            </w:tcMar>
          </w:tcPr>
          <w:p>
            <w:pPr>
              <w:pStyle w:val="Compact"/>
              <w:spacing w:after="0" w:before="0"/>
              <w:jc w:val="right"/>
            </w:pPr>
            <w:r>
              <w:rPr>
                <w:sz w:val="16"/>
              </w:rPr>
              <w:t xml:space="preserve">Issuers</w:t>
            </w:r>
          </w:p>
        </w:tc>
        <w:tc>
          <w:tcPr>
            <w:tcW w:type="dxa" w:w="960"/>
            <w:tcMar>
              <w:left w:w="30" w:type="dxa"/>
              <w:right w:w="30" w:type="dxa"/>
            </w:tcMar>
          </w:tcPr>
          <w:p>
            <w:pPr>
              <w:pStyle w:val="Compact"/>
              <w:spacing w:after="0" w:before="0"/>
              <w:jc w:val="right"/>
            </w:pPr>
            <w:r>
              <w:rPr>
                <w:sz w:val="16"/>
              </w:rPr>
              <w:t xml:space="preserve">10-K</w:t>
            </w:r>
          </w:p>
        </w:tc>
        <w:tc>
          <w:tcPr>
            <w:tcW w:type="dxa" w:w="960"/>
            <w:tcMar>
              <w:left w:w="30" w:type="dxa"/>
              <w:right w:w="30" w:type="dxa"/>
            </w:tcMar>
          </w:tcPr>
          <w:p>
            <w:pPr>
              <w:pStyle w:val="Compact"/>
              <w:spacing w:after="0" w:before="0"/>
              <w:jc w:val="right"/>
            </w:pPr>
            <w:r>
              <w:rPr>
                <w:sz w:val="16"/>
              </w:rPr>
              <w:t xml:space="preserve">10-Q</w:t>
            </w:r>
          </w:p>
        </w:tc>
        <w:tc>
          <w:tcPr>
            <w:tcW w:type="dxa" w:w="1152"/>
            <w:tcMar>
              <w:left w:w="30" w:type="dxa"/>
              <w:right w:w="30" w:type="dxa"/>
            </w:tcMar>
          </w:tcPr>
          <w:p>
            <w:pPr>
              <w:pStyle w:val="Compact"/>
              <w:spacing w:after="0" w:before="0"/>
              <w:jc w:val="right"/>
            </w:pPr>
            <w:r>
              <w:rPr>
                <w:sz w:val="16"/>
              </w:rPr>
              <w:t xml:space="preserve">8-K</w:t>
            </w:r>
          </w:p>
        </w:tc>
        <w:tc>
          <w:tcPr>
            <w:tcW w:type="dxa" w:w="1536"/>
            <w:tcMar>
              <w:left w:w="30" w:type="dxa"/>
              <w:right w:w="30" w:type="dxa"/>
            </w:tcMar>
          </w:tcPr>
          <w:p>
            <w:pPr>
              <w:pStyle w:val="Compact"/>
              <w:spacing w:after="0" w:before="0"/>
              <w:jc w:val="right"/>
            </w:pPr>
            <w:r>
              <w:rPr>
                <w:sz w:val="16"/>
              </w:rPr>
              <w:t xml:space="preserve">Mentions</w:t>
            </w:r>
          </w:p>
        </w:tc>
        <w:tc>
          <w:tcPr>
            <w:tcW w:type="dxa" w:w="1536"/>
            <w:tcMar>
              <w:left w:w="30" w:type="dxa"/>
              <w:right w:w="30" w:type="dxa"/>
            </w:tcMar>
          </w:tcPr>
          <w:p>
            <w:pPr>
              <w:pStyle w:val="Compact"/>
              <w:spacing w:after="0" w:before="0"/>
              <w:jc w:val="right"/>
            </w:pPr>
            <w:r>
              <w:rPr>
                <w:sz w:val="16"/>
              </w:rPr>
              <w:t xml:space="preserve">Issuers w/ mentions</w:t>
            </w:r>
          </w:p>
        </w:tc>
        <w:tc>
          <w:tcPr>
            <w:tcW w:type="dxa" w:w="1536"/>
            <w:tcMar>
              <w:left w:w="30" w:type="dxa"/>
              <w:right w:w="30" w:type="dxa"/>
            </w:tcMar>
          </w:tcPr>
          <w:p>
            <w:pPr>
              <w:pStyle w:val="Compact"/>
              <w:spacing w:after="0" w:before="0"/>
              <w:jc w:val="right"/>
            </w:pPr>
            <w:r>
              <w:rPr>
                <w:sz w:val="16"/>
              </w:rPr>
              <w:t xml:space="preserve">Projects first seen</w:t>
            </w:r>
          </w:p>
        </w:tc>
      </w:tr>
      <w:tr>
        <w:tc>
          <w:tcPr>
            <w:tcW w:type="dxa" w:w="768"/>
            <w:tcMar>
              <w:left w:w="30" w:type="dxa"/>
              <w:right w:w="30" w:type="dxa"/>
            </w:tcMar>
          </w:tcPr>
          <w:p>
            <w:pPr>
              <w:pStyle w:val="Compact"/>
              <w:spacing w:after="0" w:before="0"/>
              <w:jc w:val="left"/>
            </w:pPr>
            <w:r>
              <w:rPr>
                <w:sz w:val="16"/>
              </w:rPr>
              <w:t xml:space="preserve">2010</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392</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357</w:t>
            </w:r>
          </w:p>
        </w:tc>
        <w:tc>
          <w:tcPr>
            <w:tcW w:type="dxa" w:w="960"/>
            <w:tcMar>
              <w:left w:w="30" w:type="dxa"/>
              <w:right w:w="30" w:type="dxa"/>
            </w:tcMar>
          </w:tcPr>
          <w:p>
            <w:pPr>
              <w:pStyle w:val="Compact"/>
              <w:spacing w:after="0" w:before="0"/>
              <w:jc w:val="right"/>
            </w:pPr>
            <w:r>
              <w:rPr>
                <w:sz w:val="16"/>
              </w:rPr>
              <w:t xml:space="preserve">4</w:t>
            </w:r>
            <w:r>
              <w:rPr>
                <w:sz w:val="16"/>
              </w:rPr>
              <w:t xml:space="preserve">,</w:t>
            </w:r>
            <w:r>
              <w:rPr>
                <w:sz w:val="16"/>
              </w:rPr>
              <w:t xml:space="preserve">152</w:t>
            </w:r>
          </w:p>
        </w:tc>
        <w:tc>
          <w:tcPr>
            <w:tcW w:type="dxa" w:w="1152"/>
            <w:tcMar>
              <w:left w:w="30" w:type="dxa"/>
              <w:right w:w="30" w:type="dxa"/>
            </w:tcMar>
          </w:tcPr>
          <w:p>
            <w:pPr>
              <w:pStyle w:val="Compact"/>
              <w:spacing w:after="0" w:before="0"/>
              <w:jc w:val="right"/>
            </w:pPr>
            <w:r>
              <w:rPr>
                <w:sz w:val="16"/>
              </w:rPr>
              <w:t xml:space="preserve">17</w:t>
            </w:r>
            <w:r>
              <w:rPr>
                <w:sz w:val="16"/>
              </w:rPr>
              <w:t xml:space="preserve">,</w:t>
            </w:r>
            <w:r>
              <w:rPr>
                <w:sz w:val="16"/>
              </w:rPr>
              <w:t xml:space="preserve">672</w:t>
            </w:r>
          </w:p>
        </w:tc>
        <w:tc>
          <w:tcPr>
            <w:tcW w:type="dxa" w:w="1536"/>
            <w:tcMar>
              <w:left w:w="30" w:type="dxa"/>
              <w:right w:w="30" w:type="dxa"/>
            </w:tcMar>
          </w:tcPr>
          <w:p>
            <w:pPr>
              <w:pStyle w:val="Compact"/>
              <w:spacing w:after="0" w:before="0"/>
              <w:jc w:val="right"/>
            </w:pPr>
            <w:r>
              <w:rPr>
                <w:sz w:val="16"/>
              </w:rPr>
              <w:t xml:space="preserve">11</w:t>
            </w:r>
            <w:r>
              <w:rPr>
                <w:sz w:val="16"/>
              </w:rPr>
              <w:t xml:space="preserve">,</w:t>
            </w:r>
            <w:r>
              <w:rPr>
                <w:sz w:val="16"/>
              </w:rPr>
              <w:t xml:space="preserve">908</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224</w:t>
            </w:r>
          </w:p>
        </w:tc>
        <w:tc>
          <w:tcPr>
            <w:tcW w:type="dxa" w:w="1536"/>
            <w:tcMar>
              <w:left w:w="30" w:type="dxa"/>
              <w:right w:w="30" w:type="dxa"/>
            </w:tcMar>
          </w:tcPr>
          <w:p>
            <w:pPr>
              <w:pStyle w:val="Compact"/>
              <w:spacing w:after="0" w:before="0"/>
              <w:jc w:val="right"/>
            </w:pPr>
            <w:r>
              <w:rPr>
                <w:sz w:val="16"/>
              </w:rPr>
              <w:t xml:space="preserve">7</w:t>
            </w:r>
            <w:r>
              <w:rPr>
                <w:sz w:val="16"/>
              </w:rPr>
              <w:t xml:space="preserve">,</w:t>
            </w:r>
            <w:r>
              <w:rPr>
                <w:sz w:val="16"/>
              </w:rPr>
              <w:t xml:space="preserve">835</w:t>
            </w:r>
          </w:p>
        </w:tc>
      </w:tr>
      <w:tr>
        <w:tc>
          <w:tcPr>
            <w:tcW w:type="dxa" w:w="768"/>
            <w:tcMar>
              <w:left w:w="30" w:type="dxa"/>
              <w:right w:w="30" w:type="dxa"/>
            </w:tcMar>
          </w:tcPr>
          <w:p>
            <w:pPr>
              <w:pStyle w:val="Compact"/>
              <w:spacing w:after="0" w:before="0"/>
              <w:jc w:val="left"/>
            </w:pPr>
            <w:r>
              <w:rPr>
                <w:sz w:val="16"/>
              </w:rPr>
              <w:t xml:space="preserve">2011</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424</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409</w:t>
            </w:r>
          </w:p>
        </w:tc>
        <w:tc>
          <w:tcPr>
            <w:tcW w:type="dxa" w:w="960"/>
            <w:tcMar>
              <w:left w:w="30" w:type="dxa"/>
              <w:right w:w="30" w:type="dxa"/>
            </w:tcMar>
          </w:tcPr>
          <w:p>
            <w:pPr>
              <w:pStyle w:val="Compact"/>
              <w:spacing w:after="0" w:before="0"/>
              <w:jc w:val="right"/>
            </w:pPr>
            <w:r>
              <w:rPr>
                <w:sz w:val="16"/>
              </w:rPr>
              <w:t xml:space="preserve">4</w:t>
            </w:r>
            <w:r>
              <w:rPr>
                <w:sz w:val="16"/>
              </w:rPr>
              <w:t xml:space="preserve">,</w:t>
            </w:r>
            <w:r>
              <w:rPr>
                <w:sz w:val="16"/>
              </w:rPr>
              <w:t xml:space="preserve">260</w:t>
            </w:r>
          </w:p>
        </w:tc>
        <w:tc>
          <w:tcPr>
            <w:tcW w:type="dxa" w:w="1152"/>
            <w:tcMar>
              <w:left w:w="30" w:type="dxa"/>
              <w:right w:w="30" w:type="dxa"/>
            </w:tcMar>
          </w:tcPr>
          <w:p>
            <w:pPr>
              <w:pStyle w:val="Compact"/>
              <w:spacing w:after="0" w:before="0"/>
              <w:jc w:val="right"/>
            </w:pPr>
            <w:r>
              <w:rPr>
                <w:sz w:val="16"/>
              </w:rPr>
              <w:t xml:space="preserve">18</w:t>
            </w:r>
            <w:r>
              <w:rPr>
                <w:sz w:val="16"/>
              </w:rPr>
              <w:t xml:space="preserve">,</w:t>
            </w:r>
            <w:r>
              <w:rPr>
                <w:sz w:val="16"/>
              </w:rPr>
              <w:t xml:space="preserve">533</w:t>
            </w:r>
          </w:p>
        </w:tc>
        <w:tc>
          <w:tcPr>
            <w:tcW w:type="dxa" w:w="1536"/>
            <w:tcMar>
              <w:left w:w="30" w:type="dxa"/>
              <w:right w:w="30" w:type="dxa"/>
            </w:tcMar>
          </w:tcPr>
          <w:p>
            <w:pPr>
              <w:pStyle w:val="Compact"/>
              <w:spacing w:after="0" w:before="0"/>
              <w:jc w:val="right"/>
            </w:pPr>
            <w:r>
              <w:rPr>
                <w:sz w:val="16"/>
              </w:rPr>
              <w:t xml:space="preserve">13</w:t>
            </w:r>
            <w:r>
              <w:rPr>
                <w:sz w:val="16"/>
              </w:rPr>
              <w:t xml:space="preserve">,</w:t>
            </w:r>
            <w:r>
              <w:rPr>
                <w:sz w:val="16"/>
              </w:rPr>
              <w:t xml:space="preserve">551</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287</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679</w:t>
            </w:r>
          </w:p>
        </w:tc>
      </w:tr>
      <w:tr>
        <w:tc>
          <w:tcPr>
            <w:tcW w:type="dxa" w:w="768"/>
            <w:tcMar>
              <w:left w:w="30" w:type="dxa"/>
              <w:right w:w="30" w:type="dxa"/>
            </w:tcMar>
          </w:tcPr>
          <w:p>
            <w:pPr>
              <w:pStyle w:val="Compact"/>
              <w:spacing w:after="0" w:before="0"/>
              <w:jc w:val="left"/>
            </w:pPr>
            <w:r>
              <w:rPr>
                <w:sz w:val="16"/>
              </w:rPr>
              <w:t xml:space="preserve">2012</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472</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436</w:t>
            </w:r>
          </w:p>
        </w:tc>
        <w:tc>
          <w:tcPr>
            <w:tcW w:type="dxa" w:w="960"/>
            <w:tcMar>
              <w:left w:w="30" w:type="dxa"/>
              <w:right w:w="30" w:type="dxa"/>
            </w:tcMar>
          </w:tcPr>
          <w:p>
            <w:pPr>
              <w:pStyle w:val="Compact"/>
              <w:spacing w:after="0" w:before="0"/>
              <w:jc w:val="right"/>
            </w:pPr>
            <w:r>
              <w:rPr>
                <w:sz w:val="16"/>
              </w:rPr>
              <w:t xml:space="preserve">4</w:t>
            </w:r>
            <w:r>
              <w:rPr>
                <w:sz w:val="16"/>
              </w:rPr>
              <w:t xml:space="preserve">,</w:t>
            </w:r>
            <w:r>
              <w:rPr>
                <w:sz w:val="16"/>
              </w:rPr>
              <w:t xml:space="preserve">363</w:t>
            </w:r>
          </w:p>
        </w:tc>
        <w:tc>
          <w:tcPr>
            <w:tcW w:type="dxa" w:w="1152"/>
            <w:tcMar>
              <w:left w:w="30" w:type="dxa"/>
              <w:right w:w="30" w:type="dxa"/>
            </w:tcMar>
          </w:tcPr>
          <w:p>
            <w:pPr>
              <w:pStyle w:val="Compact"/>
              <w:spacing w:after="0" w:before="0"/>
              <w:jc w:val="right"/>
            </w:pPr>
            <w:r>
              <w:rPr>
                <w:sz w:val="16"/>
              </w:rPr>
              <w:t xml:space="preserve">19</w:t>
            </w:r>
            <w:r>
              <w:rPr>
                <w:sz w:val="16"/>
              </w:rPr>
              <w:t xml:space="preserve">,</w:t>
            </w:r>
            <w:r>
              <w:rPr>
                <w:sz w:val="16"/>
              </w:rPr>
              <w:t xml:space="preserve">437</w:t>
            </w:r>
          </w:p>
        </w:tc>
        <w:tc>
          <w:tcPr>
            <w:tcW w:type="dxa" w:w="1536"/>
            <w:tcMar>
              <w:left w:w="30" w:type="dxa"/>
              <w:right w:w="30" w:type="dxa"/>
            </w:tcMar>
          </w:tcPr>
          <w:p>
            <w:pPr>
              <w:pStyle w:val="Compact"/>
              <w:spacing w:after="0" w:before="0"/>
              <w:jc w:val="right"/>
            </w:pPr>
            <w:r>
              <w:rPr>
                <w:sz w:val="16"/>
              </w:rPr>
              <w:t xml:space="preserve">14</w:t>
            </w:r>
            <w:r>
              <w:rPr>
                <w:sz w:val="16"/>
              </w:rPr>
              <w:t xml:space="preserve">,</w:t>
            </w:r>
            <w:r>
              <w:rPr>
                <w:sz w:val="16"/>
              </w:rPr>
              <w:t xml:space="preserve">302</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333</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444</w:t>
            </w:r>
          </w:p>
        </w:tc>
      </w:tr>
      <w:tr>
        <w:tc>
          <w:tcPr>
            <w:tcW w:type="dxa" w:w="768"/>
            <w:tcMar>
              <w:left w:w="30" w:type="dxa"/>
              <w:right w:w="30" w:type="dxa"/>
            </w:tcMar>
          </w:tcPr>
          <w:p>
            <w:pPr>
              <w:pStyle w:val="Compact"/>
              <w:spacing w:after="0" w:before="0"/>
              <w:jc w:val="left"/>
            </w:pPr>
            <w:r>
              <w:rPr>
                <w:sz w:val="16"/>
              </w:rPr>
              <w:t xml:space="preserve">2013</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539</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483</w:t>
            </w:r>
          </w:p>
        </w:tc>
        <w:tc>
          <w:tcPr>
            <w:tcW w:type="dxa" w:w="960"/>
            <w:tcMar>
              <w:left w:w="30" w:type="dxa"/>
              <w:right w:w="30" w:type="dxa"/>
            </w:tcMar>
          </w:tcPr>
          <w:p>
            <w:pPr>
              <w:pStyle w:val="Compact"/>
              <w:spacing w:after="0" w:before="0"/>
              <w:jc w:val="right"/>
            </w:pPr>
            <w:r>
              <w:rPr>
                <w:sz w:val="16"/>
              </w:rPr>
              <w:t xml:space="preserve">4</w:t>
            </w:r>
            <w:r>
              <w:rPr>
                <w:sz w:val="16"/>
              </w:rPr>
              <w:t xml:space="preserve">,</w:t>
            </w:r>
            <w:r>
              <w:rPr>
                <w:sz w:val="16"/>
              </w:rPr>
              <w:t xml:space="preserve">530</w:t>
            </w:r>
          </w:p>
        </w:tc>
        <w:tc>
          <w:tcPr>
            <w:tcW w:type="dxa" w:w="1152"/>
            <w:tcMar>
              <w:left w:w="30" w:type="dxa"/>
              <w:right w:w="30" w:type="dxa"/>
            </w:tcMar>
          </w:tcPr>
          <w:p>
            <w:pPr>
              <w:pStyle w:val="Compact"/>
              <w:spacing w:after="0" w:before="0"/>
              <w:jc w:val="right"/>
            </w:pPr>
            <w:r>
              <w:rPr>
                <w:sz w:val="16"/>
              </w:rPr>
              <w:t xml:space="preserve">19</w:t>
            </w:r>
            <w:r>
              <w:rPr>
                <w:sz w:val="16"/>
              </w:rPr>
              <w:t xml:space="preserve">,</w:t>
            </w:r>
            <w:r>
              <w:rPr>
                <w:sz w:val="16"/>
              </w:rPr>
              <w:t xml:space="preserve">773</w:t>
            </w:r>
          </w:p>
        </w:tc>
        <w:tc>
          <w:tcPr>
            <w:tcW w:type="dxa" w:w="1536"/>
            <w:tcMar>
              <w:left w:w="30" w:type="dxa"/>
              <w:right w:w="30" w:type="dxa"/>
            </w:tcMar>
          </w:tcPr>
          <w:p>
            <w:pPr>
              <w:pStyle w:val="Compact"/>
              <w:spacing w:after="0" w:before="0"/>
              <w:jc w:val="right"/>
            </w:pPr>
            <w:r>
              <w:rPr>
                <w:sz w:val="16"/>
              </w:rPr>
              <w:t xml:space="preserve">14</w:t>
            </w:r>
            <w:r>
              <w:rPr>
                <w:sz w:val="16"/>
              </w:rPr>
              <w:t xml:space="preserve">,</w:t>
            </w:r>
            <w:r>
              <w:rPr>
                <w:sz w:val="16"/>
              </w:rPr>
              <w:t xml:space="preserve">611</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408</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286</w:t>
            </w:r>
          </w:p>
        </w:tc>
      </w:tr>
      <w:tr>
        <w:tc>
          <w:tcPr>
            <w:tcW w:type="dxa" w:w="768"/>
            <w:tcMar>
              <w:left w:w="30" w:type="dxa"/>
              <w:right w:w="30" w:type="dxa"/>
            </w:tcMar>
          </w:tcPr>
          <w:p>
            <w:pPr>
              <w:pStyle w:val="Compact"/>
              <w:spacing w:after="0" w:before="0"/>
              <w:jc w:val="left"/>
            </w:pPr>
            <w:r>
              <w:rPr>
                <w:sz w:val="16"/>
              </w:rPr>
              <w:t xml:space="preserve">2014</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619</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549</w:t>
            </w:r>
          </w:p>
        </w:tc>
        <w:tc>
          <w:tcPr>
            <w:tcW w:type="dxa" w:w="960"/>
            <w:tcMar>
              <w:left w:w="30" w:type="dxa"/>
              <w:right w:w="30" w:type="dxa"/>
            </w:tcMar>
          </w:tcPr>
          <w:p>
            <w:pPr>
              <w:pStyle w:val="Compact"/>
              <w:spacing w:after="0" w:before="0"/>
              <w:jc w:val="right"/>
            </w:pPr>
            <w:r>
              <w:rPr>
                <w:sz w:val="16"/>
              </w:rPr>
              <w:t xml:space="preserve">4</w:t>
            </w:r>
            <w:r>
              <w:rPr>
                <w:sz w:val="16"/>
              </w:rPr>
              <w:t xml:space="preserve">,</w:t>
            </w:r>
            <w:r>
              <w:rPr>
                <w:sz w:val="16"/>
              </w:rPr>
              <w:t xml:space="preserve">780</w:t>
            </w:r>
          </w:p>
        </w:tc>
        <w:tc>
          <w:tcPr>
            <w:tcW w:type="dxa" w:w="1152"/>
            <w:tcMar>
              <w:left w:w="30" w:type="dxa"/>
              <w:right w:w="30" w:type="dxa"/>
            </w:tcMar>
          </w:tcPr>
          <w:p>
            <w:pPr>
              <w:pStyle w:val="Compact"/>
              <w:spacing w:after="0" w:before="0"/>
              <w:jc w:val="right"/>
            </w:pPr>
            <w:r>
              <w:rPr>
                <w:sz w:val="16"/>
              </w:rPr>
              <w:t xml:space="preserve">20</w:t>
            </w:r>
            <w:r>
              <w:rPr>
                <w:sz w:val="16"/>
              </w:rPr>
              <w:t xml:space="preserve">,</w:t>
            </w:r>
            <w:r>
              <w:rPr>
                <w:sz w:val="16"/>
              </w:rPr>
              <w:t xml:space="preserve">927</w:t>
            </w:r>
          </w:p>
        </w:tc>
        <w:tc>
          <w:tcPr>
            <w:tcW w:type="dxa" w:w="1536"/>
            <w:tcMar>
              <w:left w:w="30" w:type="dxa"/>
              <w:right w:w="30" w:type="dxa"/>
            </w:tcMar>
          </w:tcPr>
          <w:p>
            <w:pPr>
              <w:pStyle w:val="Compact"/>
              <w:spacing w:after="0" w:before="0"/>
              <w:jc w:val="right"/>
            </w:pPr>
            <w:r>
              <w:rPr>
                <w:sz w:val="16"/>
              </w:rPr>
              <w:t xml:space="preserve">16</w:t>
            </w:r>
            <w:r>
              <w:rPr>
                <w:sz w:val="16"/>
              </w:rPr>
              <w:t xml:space="preserve">,</w:t>
            </w:r>
            <w:r>
              <w:rPr>
                <w:sz w:val="16"/>
              </w:rPr>
              <w:t xml:space="preserve">274</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490</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732</w:t>
            </w:r>
          </w:p>
        </w:tc>
      </w:tr>
      <w:tr>
        <w:tc>
          <w:tcPr>
            <w:tcW w:type="dxa" w:w="768"/>
            <w:tcMar>
              <w:left w:w="30" w:type="dxa"/>
              <w:right w:w="30" w:type="dxa"/>
            </w:tcMar>
          </w:tcPr>
          <w:p>
            <w:pPr>
              <w:pStyle w:val="Compact"/>
              <w:spacing w:after="0" w:before="0"/>
              <w:jc w:val="left"/>
            </w:pPr>
            <w:r>
              <w:rPr>
                <w:sz w:val="16"/>
              </w:rPr>
              <w:t xml:space="preserve">2015</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689</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635</w:t>
            </w:r>
          </w:p>
        </w:tc>
        <w:tc>
          <w:tcPr>
            <w:tcW w:type="dxa" w:w="960"/>
            <w:tcMar>
              <w:left w:w="30" w:type="dxa"/>
              <w:right w:w="30" w:type="dxa"/>
            </w:tcMar>
          </w:tcPr>
          <w:p>
            <w:pPr>
              <w:pStyle w:val="Compact"/>
              <w:spacing w:after="0" w:before="0"/>
              <w:jc w:val="right"/>
            </w:pPr>
            <w:r>
              <w:rPr>
                <w:sz w:val="16"/>
              </w:rPr>
              <w:t xml:space="preserve">4</w:t>
            </w:r>
            <w:r>
              <w:rPr>
                <w:sz w:val="16"/>
              </w:rPr>
              <w:t xml:space="preserve">,</w:t>
            </w:r>
            <w:r>
              <w:rPr>
                <w:sz w:val="16"/>
              </w:rPr>
              <w:t xml:space="preserve">983</w:t>
            </w:r>
          </w:p>
        </w:tc>
        <w:tc>
          <w:tcPr>
            <w:tcW w:type="dxa" w:w="1152"/>
            <w:tcMar>
              <w:left w:w="30" w:type="dxa"/>
              <w:right w:w="30" w:type="dxa"/>
            </w:tcMar>
          </w:tcPr>
          <w:p>
            <w:pPr>
              <w:pStyle w:val="Compact"/>
              <w:spacing w:after="0" w:before="0"/>
              <w:jc w:val="right"/>
            </w:pPr>
            <w:r>
              <w:rPr>
                <w:sz w:val="16"/>
              </w:rPr>
              <w:t xml:space="preserve">22</w:t>
            </w:r>
            <w:r>
              <w:rPr>
                <w:sz w:val="16"/>
              </w:rPr>
              <w:t xml:space="preserve">,</w:t>
            </w:r>
            <w:r>
              <w:rPr>
                <w:sz w:val="16"/>
              </w:rPr>
              <w:t xml:space="preserve">077</w:t>
            </w:r>
          </w:p>
        </w:tc>
        <w:tc>
          <w:tcPr>
            <w:tcW w:type="dxa" w:w="1536"/>
            <w:tcMar>
              <w:left w:w="30" w:type="dxa"/>
              <w:right w:w="30" w:type="dxa"/>
            </w:tcMar>
          </w:tcPr>
          <w:p>
            <w:pPr>
              <w:pStyle w:val="Compact"/>
              <w:spacing w:after="0" w:before="0"/>
              <w:jc w:val="right"/>
            </w:pPr>
            <w:r>
              <w:rPr>
                <w:sz w:val="16"/>
              </w:rPr>
              <w:t xml:space="preserve">17</w:t>
            </w:r>
            <w:r>
              <w:rPr>
                <w:sz w:val="16"/>
              </w:rPr>
              <w:t xml:space="preserve">,</w:t>
            </w:r>
            <w:r>
              <w:rPr>
                <w:sz w:val="16"/>
              </w:rPr>
              <w:t xml:space="preserve">073</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535</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675</w:t>
            </w:r>
          </w:p>
        </w:tc>
      </w:tr>
      <w:tr>
        <w:tc>
          <w:tcPr>
            <w:tcW w:type="dxa" w:w="768"/>
            <w:tcMar>
              <w:left w:w="30" w:type="dxa"/>
              <w:right w:w="30" w:type="dxa"/>
            </w:tcMar>
          </w:tcPr>
          <w:p>
            <w:pPr>
              <w:pStyle w:val="Compact"/>
              <w:spacing w:after="0" w:before="0"/>
              <w:jc w:val="left"/>
            </w:pPr>
            <w:r>
              <w:rPr>
                <w:sz w:val="16"/>
              </w:rPr>
              <w:t xml:space="preserve">2016</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744</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692</w:t>
            </w:r>
          </w:p>
        </w:tc>
        <w:tc>
          <w:tcPr>
            <w:tcW w:type="dxa" w:w="960"/>
            <w:tcMar>
              <w:left w:w="30" w:type="dxa"/>
              <w:right w:w="30" w:type="dxa"/>
            </w:tcMar>
          </w:tcPr>
          <w:p>
            <w:pPr>
              <w:pStyle w:val="Compact"/>
              <w:spacing w:after="0" w:before="0"/>
              <w:jc w:val="right"/>
            </w:pPr>
            <w:r>
              <w:rPr>
                <w:sz w:val="16"/>
              </w:rPr>
              <w:t xml:space="preserve">5</w:t>
            </w:r>
            <w:r>
              <w:rPr>
                <w:sz w:val="16"/>
              </w:rPr>
              <w:t xml:space="preserve">,</w:t>
            </w:r>
            <w:r>
              <w:rPr>
                <w:sz w:val="16"/>
              </w:rPr>
              <w:t xml:space="preserve">146</w:t>
            </w:r>
          </w:p>
        </w:tc>
        <w:tc>
          <w:tcPr>
            <w:tcW w:type="dxa" w:w="1152"/>
            <w:tcMar>
              <w:left w:w="30" w:type="dxa"/>
              <w:right w:w="30" w:type="dxa"/>
            </w:tcMar>
          </w:tcPr>
          <w:p>
            <w:pPr>
              <w:pStyle w:val="Compact"/>
              <w:spacing w:after="0" w:before="0"/>
              <w:jc w:val="right"/>
            </w:pPr>
            <w:r>
              <w:rPr>
                <w:sz w:val="16"/>
              </w:rPr>
              <w:t xml:space="preserve">22</w:t>
            </w:r>
            <w:r>
              <w:rPr>
                <w:sz w:val="16"/>
              </w:rPr>
              <w:t xml:space="preserve">,</w:t>
            </w:r>
            <w:r>
              <w:rPr>
                <w:sz w:val="16"/>
              </w:rPr>
              <w:t xml:space="preserve">447</w:t>
            </w:r>
          </w:p>
        </w:tc>
        <w:tc>
          <w:tcPr>
            <w:tcW w:type="dxa" w:w="1536"/>
            <w:tcMar>
              <w:left w:w="30" w:type="dxa"/>
              <w:right w:w="30" w:type="dxa"/>
            </w:tcMar>
          </w:tcPr>
          <w:p>
            <w:pPr>
              <w:pStyle w:val="Compact"/>
              <w:spacing w:after="0" w:before="0"/>
              <w:jc w:val="right"/>
            </w:pPr>
            <w:r>
              <w:rPr>
                <w:sz w:val="16"/>
              </w:rPr>
              <w:t xml:space="preserve">16</w:t>
            </w:r>
            <w:r>
              <w:rPr>
                <w:sz w:val="16"/>
              </w:rPr>
              <w:t xml:space="preserve">,</w:t>
            </w:r>
            <w:r>
              <w:rPr>
                <w:sz w:val="16"/>
              </w:rPr>
              <w:t xml:space="preserve">429</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579</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240</w:t>
            </w:r>
          </w:p>
        </w:tc>
      </w:tr>
      <w:tr>
        <w:tc>
          <w:tcPr>
            <w:tcW w:type="dxa" w:w="768"/>
            <w:tcMar>
              <w:left w:w="30" w:type="dxa"/>
              <w:right w:w="30" w:type="dxa"/>
            </w:tcMar>
          </w:tcPr>
          <w:p>
            <w:pPr>
              <w:pStyle w:val="Compact"/>
              <w:spacing w:after="0" w:before="0"/>
              <w:jc w:val="left"/>
            </w:pPr>
            <w:r>
              <w:rPr>
                <w:sz w:val="16"/>
              </w:rPr>
              <w:t xml:space="preserve">2017</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810</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745</w:t>
            </w:r>
          </w:p>
        </w:tc>
        <w:tc>
          <w:tcPr>
            <w:tcW w:type="dxa" w:w="960"/>
            <w:tcMar>
              <w:left w:w="30" w:type="dxa"/>
              <w:right w:w="30" w:type="dxa"/>
            </w:tcMar>
          </w:tcPr>
          <w:p>
            <w:pPr>
              <w:pStyle w:val="Compact"/>
              <w:spacing w:after="0" w:before="0"/>
              <w:jc w:val="right"/>
            </w:pPr>
            <w:r>
              <w:rPr>
                <w:sz w:val="16"/>
              </w:rPr>
              <w:t xml:space="preserve">5</w:t>
            </w:r>
            <w:r>
              <w:rPr>
                <w:sz w:val="16"/>
              </w:rPr>
              <w:t xml:space="preserve">,</w:t>
            </w:r>
            <w:r>
              <w:rPr>
                <w:sz w:val="16"/>
              </w:rPr>
              <w:t xml:space="preserve">359</w:t>
            </w:r>
          </w:p>
        </w:tc>
        <w:tc>
          <w:tcPr>
            <w:tcW w:type="dxa" w:w="1152"/>
            <w:tcMar>
              <w:left w:w="30" w:type="dxa"/>
              <w:right w:w="30" w:type="dxa"/>
            </w:tcMar>
          </w:tcPr>
          <w:p>
            <w:pPr>
              <w:pStyle w:val="Compact"/>
              <w:spacing w:after="0" w:before="0"/>
              <w:jc w:val="right"/>
            </w:pPr>
            <w:r>
              <w:rPr>
                <w:sz w:val="16"/>
              </w:rPr>
              <w:t xml:space="preserve">22</w:t>
            </w:r>
            <w:r>
              <w:rPr>
                <w:sz w:val="16"/>
              </w:rPr>
              <w:t xml:space="preserve">,</w:t>
            </w:r>
            <w:r>
              <w:rPr>
                <w:sz w:val="16"/>
              </w:rPr>
              <w:t xml:space="preserve">897</w:t>
            </w:r>
          </w:p>
        </w:tc>
        <w:tc>
          <w:tcPr>
            <w:tcW w:type="dxa" w:w="1536"/>
            <w:tcMar>
              <w:left w:w="30" w:type="dxa"/>
              <w:right w:w="30" w:type="dxa"/>
            </w:tcMar>
          </w:tcPr>
          <w:p>
            <w:pPr>
              <w:pStyle w:val="Compact"/>
              <w:spacing w:after="0" w:before="0"/>
              <w:jc w:val="right"/>
            </w:pPr>
            <w:r>
              <w:rPr>
                <w:sz w:val="16"/>
              </w:rPr>
              <w:t xml:space="preserve">17</w:t>
            </w:r>
            <w:r>
              <w:rPr>
                <w:sz w:val="16"/>
              </w:rPr>
              <w:t xml:space="preserve">,</w:t>
            </w:r>
            <w:r>
              <w:rPr>
                <w:sz w:val="16"/>
              </w:rPr>
              <w:t xml:space="preserve">350</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636</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490</w:t>
            </w:r>
          </w:p>
        </w:tc>
      </w:tr>
      <w:tr>
        <w:tc>
          <w:tcPr>
            <w:tcW w:type="dxa" w:w="768"/>
            <w:tcMar>
              <w:left w:w="30" w:type="dxa"/>
              <w:right w:w="30" w:type="dxa"/>
            </w:tcMar>
          </w:tcPr>
          <w:p>
            <w:pPr>
              <w:pStyle w:val="Compact"/>
              <w:spacing w:after="0" w:before="0"/>
              <w:jc w:val="left"/>
            </w:pPr>
            <w:r>
              <w:rPr>
                <w:sz w:val="16"/>
              </w:rPr>
              <w:t xml:space="preserve">2018</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893</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827</w:t>
            </w:r>
          </w:p>
        </w:tc>
        <w:tc>
          <w:tcPr>
            <w:tcW w:type="dxa" w:w="960"/>
            <w:tcMar>
              <w:left w:w="30" w:type="dxa"/>
              <w:right w:w="30" w:type="dxa"/>
            </w:tcMar>
          </w:tcPr>
          <w:p>
            <w:pPr>
              <w:pStyle w:val="Compact"/>
              <w:spacing w:after="0" w:before="0"/>
              <w:jc w:val="right"/>
            </w:pPr>
            <w:r>
              <w:rPr>
                <w:sz w:val="16"/>
              </w:rPr>
              <w:t xml:space="preserve">5</w:t>
            </w:r>
            <w:r>
              <w:rPr>
                <w:sz w:val="16"/>
              </w:rPr>
              <w:t xml:space="preserve">,</w:t>
            </w:r>
            <w:r>
              <w:rPr>
                <w:sz w:val="16"/>
              </w:rPr>
              <w:t xml:space="preserve">582</w:t>
            </w:r>
          </w:p>
        </w:tc>
        <w:tc>
          <w:tcPr>
            <w:tcW w:type="dxa" w:w="1152"/>
            <w:tcMar>
              <w:left w:w="30" w:type="dxa"/>
              <w:right w:w="30" w:type="dxa"/>
            </w:tcMar>
          </w:tcPr>
          <w:p>
            <w:pPr>
              <w:pStyle w:val="Compact"/>
              <w:spacing w:after="0" w:before="0"/>
              <w:jc w:val="right"/>
            </w:pPr>
            <w:r>
              <w:rPr>
                <w:sz w:val="16"/>
              </w:rPr>
              <w:t xml:space="preserve">23</w:t>
            </w:r>
            <w:r>
              <w:rPr>
                <w:sz w:val="16"/>
              </w:rPr>
              <w:t xml:space="preserve">,</w:t>
            </w:r>
            <w:r>
              <w:rPr>
                <w:sz w:val="16"/>
              </w:rPr>
              <w:t xml:space="preserve">709</w:t>
            </w:r>
          </w:p>
        </w:tc>
        <w:tc>
          <w:tcPr>
            <w:tcW w:type="dxa" w:w="1536"/>
            <w:tcMar>
              <w:left w:w="30" w:type="dxa"/>
              <w:right w:w="30" w:type="dxa"/>
            </w:tcMar>
          </w:tcPr>
          <w:p>
            <w:pPr>
              <w:pStyle w:val="Compact"/>
              <w:spacing w:after="0" w:before="0"/>
              <w:jc w:val="right"/>
            </w:pPr>
            <w:r>
              <w:rPr>
                <w:sz w:val="16"/>
              </w:rPr>
              <w:t xml:space="preserve">18</w:t>
            </w:r>
            <w:r>
              <w:rPr>
                <w:sz w:val="16"/>
              </w:rPr>
              <w:t xml:space="preserve">,</w:t>
            </w:r>
            <w:r>
              <w:rPr>
                <w:sz w:val="16"/>
              </w:rPr>
              <w:t xml:space="preserve">064</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737</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815</w:t>
            </w:r>
          </w:p>
        </w:tc>
      </w:tr>
      <w:tr>
        <w:tc>
          <w:tcPr>
            <w:tcW w:type="dxa" w:w="768"/>
            <w:tcMar>
              <w:left w:w="30" w:type="dxa"/>
              <w:right w:w="30" w:type="dxa"/>
            </w:tcMar>
          </w:tcPr>
          <w:p>
            <w:pPr>
              <w:pStyle w:val="Compact"/>
              <w:spacing w:after="0" w:before="0"/>
              <w:jc w:val="left"/>
            </w:pPr>
            <w:r>
              <w:rPr>
                <w:sz w:val="16"/>
              </w:rPr>
              <w:t xml:space="preserve">2019</w:t>
            </w:r>
          </w:p>
        </w:tc>
        <w:tc>
          <w:tcPr>
            <w:tcW w:type="dxa" w:w="1344"/>
            <w:tcMar>
              <w:left w:w="30" w:type="dxa"/>
              <w:right w:w="30" w:type="dxa"/>
            </w:tcMar>
          </w:tcPr>
          <w:p>
            <w:pPr>
              <w:pStyle w:val="Compact"/>
              <w:spacing w:after="0" w:before="0"/>
              <w:jc w:val="right"/>
            </w:pPr>
            <w:r>
              <w:rPr>
                <w:sz w:val="16"/>
              </w:rPr>
              <w:t xml:space="preserve">1</w:t>
            </w:r>
            <w:r>
              <w:rPr>
                <w:sz w:val="16"/>
              </w:rPr>
              <w:t xml:space="preserve">,</w:t>
            </w:r>
            <w:r>
              <w:rPr>
                <w:sz w:val="16"/>
              </w:rPr>
              <w:t xml:space="preserve">973</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903</w:t>
            </w:r>
          </w:p>
        </w:tc>
        <w:tc>
          <w:tcPr>
            <w:tcW w:type="dxa" w:w="960"/>
            <w:tcMar>
              <w:left w:w="30" w:type="dxa"/>
              <w:right w:w="30" w:type="dxa"/>
            </w:tcMar>
          </w:tcPr>
          <w:p>
            <w:pPr>
              <w:pStyle w:val="Compact"/>
              <w:spacing w:after="0" w:before="0"/>
              <w:jc w:val="right"/>
            </w:pPr>
            <w:r>
              <w:rPr>
                <w:sz w:val="16"/>
              </w:rPr>
              <w:t xml:space="preserve">5</w:t>
            </w:r>
            <w:r>
              <w:rPr>
                <w:sz w:val="16"/>
              </w:rPr>
              <w:t xml:space="preserve">,</w:t>
            </w:r>
            <w:r>
              <w:rPr>
                <w:sz w:val="16"/>
              </w:rPr>
              <w:t xml:space="preserve">829</w:t>
            </w:r>
          </w:p>
        </w:tc>
        <w:tc>
          <w:tcPr>
            <w:tcW w:type="dxa" w:w="1152"/>
            <w:tcMar>
              <w:left w:w="30" w:type="dxa"/>
              <w:right w:w="30" w:type="dxa"/>
            </w:tcMar>
          </w:tcPr>
          <w:p>
            <w:pPr>
              <w:pStyle w:val="Compact"/>
              <w:spacing w:after="0" w:before="0"/>
              <w:jc w:val="right"/>
            </w:pPr>
            <w:r>
              <w:rPr>
                <w:sz w:val="16"/>
              </w:rPr>
              <w:t xml:space="preserve">24</w:t>
            </w:r>
            <w:r>
              <w:rPr>
                <w:sz w:val="16"/>
              </w:rPr>
              <w:t xml:space="preserve">,</w:t>
            </w:r>
            <w:r>
              <w:rPr>
                <w:sz w:val="16"/>
              </w:rPr>
              <w:t xml:space="preserve">256</w:t>
            </w:r>
          </w:p>
        </w:tc>
        <w:tc>
          <w:tcPr>
            <w:tcW w:type="dxa" w:w="1536"/>
            <w:tcMar>
              <w:left w:w="30" w:type="dxa"/>
              <w:right w:w="30" w:type="dxa"/>
            </w:tcMar>
          </w:tcPr>
          <w:p>
            <w:pPr>
              <w:pStyle w:val="Compact"/>
              <w:spacing w:after="0" w:before="0"/>
              <w:jc w:val="right"/>
            </w:pPr>
            <w:r>
              <w:rPr>
                <w:sz w:val="16"/>
              </w:rPr>
              <w:t xml:space="preserve">18</w:t>
            </w:r>
            <w:r>
              <w:rPr>
                <w:sz w:val="16"/>
              </w:rPr>
              <w:t xml:space="preserve">,</w:t>
            </w:r>
            <w:r>
              <w:rPr>
                <w:sz w:val="16"/>
              </w:rPr>
              <w:t xml:space="preserve">737</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806</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837</w:t>
            </w:r>
          </w:p>
        </w:tc>
      </w:tr>
      <w:tr>
        <w:tc>
          <w:tcPr>
            <w:tcW w:type="dxa" w:w="768"/>
            <w:tcMar>
              <w:left w:w="30" w:type="dxa"/>
              <w:right w:w="30" w:type="dxa"/>
            </w:tcMar>
          </w:tcPr>
          <w:p>
            <w:pPr>
              <w:pStyle w:val="Compact"/>
              <w:spacing w:after="0" w:before="0"/>
              <w:jc w:val="left"/>
            </w:pPr>
            <w:r>
              <w:rPr>
                <w:sz w:val="16"/>
              </w:rPr>
              <w:t xml:space="preserve">2020</w:t>
            </w:r>
          </w:p>
        </w:tc>
        <w:tc>
          <w:tcPr>
            <w:tcW w:type="dxa" w:w="1344"/>
            <w:tcMar>
              <w:left w:w="30" w:type="dxa"/>
              <w:right w:w="30" w:type="dxa"/>
            </w:tcMar>
          </w:tcPr>
          <w:p>
            <w:pPr>
              <w:pStyle w:val="Compact"/>
              <w:spacing w:after="0" w:before="0"/>
              <w:jc w:val="right"/>
            </w:pPr>
            <w:r>
              <w:rPr>
                <w:sz w:val="16"/>
              </w:rPr>
              <w:t xml:space="preserve">2</w:t>
            </w:r>
            <w:r>
              <w:rPr>
                <w:sz w:val="16"/>
              </w:rPr>
              <w:t xml:space="preserve">,</w:t>
            </w:r>
            <w:r>
              <w:rPr>
                <w:sz w:val="16"/>
              </w:rPr>
              <w:t xml:space="preserve">089</w:t>
            </w:r>
          </w:p>
        </w:tc>
        <w:tc>
          <w:tcPr>
            <w:tcW w:type="dxa" w:w="960"/>
            <w:tcMar>
              <w:left w:w="30" w:type="dxa"/>
              <w:right w:w="30" w:type="dxa"/>
            </w:tcMar>
          </w:tcPr>
          <w:p>
            <w:pPr>
              <w:pStyle w:val="Compact"/>
              <w:spacing w:after="0" w:before="0"/>
              <w:jc w:val="right"/>
            </w:pPr>
            <w:r>
              <w:rPr>
                <w:sz w:val="16"/>
              </w:rPr>
              <w:t xml:space="preserve">1</w:t>
            </w:r>
            <w:r>
              <w:rPr>
                <w:sz w:val="16"/>
              </w:rPr>
              <w:t xml:space="preserve">,</w:t>
            </w:r>
            <w:r>
              <w:rPr>
                <w:sz w:val="16"/>
              </w:rPr>
              <w:t xml:space="preserve">985</w:t>
            </w:r>
          </w:p>
        </w:tc>
        <w:tc>
          <w:tcPr>
            <w:tcW w:type="dxa" w:w="960"/>
            <w:tcMar>
              <w:left w:w="30" w:type="dxa"/>
              <w:right w:w="30" w:type="dxa"/>
            </w:tcMar>
          </w:tcPr>
          <w:p>
            <w:pPr>
              <w:pStyle w:val="Compact"/>
              <w:spacing w:after="0" w:before="0"/>
              <w:jc w:val="right"/>
            </w:pPr>
            <w:r>
              <w:rPr>
                <w:sz w:val="16"/>
              </w:rPr>
              <w:t xml:space="preserve">6</w:t>
            </w:r>
            <w:r>
              <w:rPr>
                <w:sz w:val="16"/>
              </w:rPr>
              <w:t xml:space="preserve">,</w:t>
            </w:r>
            <w:r>
              <w:rPr>
                <w:sz w:val="16"/>
              </w:rPr>
              <w:t xml:space="preserve">095</w:t>
            </w:r>
          </w:p>
        </w:tc>
        <w:tc>
          <w:tcPr>
            <w:tcW w:type="dxa" w:w="1152"/>
            <w:tcMar>
              <w:left w:w="30" w:type="dxa"/>
              <w:right w:w="30" w:type="dxa"/>
            </w:tcMar>
          </w:tcPr>
          <w:p>
            <w:pPr>
              <w:pStyle w:val="Compact"/>
              <w:spacing w:after="0" w:before="0"/>
              <w:jc w:val="right"/>
            </w:pPr>
            <w:r>
              <w:rPr>
                <w:sz w:val="16"/>
              </w:rPr>
              <w:t xml:space="preserve">27</w:t>
            </w:r>
            <w:r>
              <w:rPr>
                <w:sz w:val="16"/>
              </w:rPr>
              <w:t xml:space="preserve">,</w:t>
            </w:r>
            <w:r>
              <w:rPr>
                <w:sz w:val="16"/>
              </w:rPr>
              <w:t xml:space="preserve">424</w:t>
            </w:r>
          </w:p>
        </w:tc>
        <w:tc>
          <w:tcPr>
            <w:tcW w:type="dxa" w:w="1536"/>
            <w:tcMar>
              <w:left w:w="30" w:type="dxa"/>
              <w:right w:w="30" w:type="dxa"/>
            </w:tcMar>
          </w:tcPr>
          <w:p>
            <w:pPr>
              <w:pStyle w:val="Compact"/>
              <w:spacing w:after="0" w:before="0"/>
              <w:jc w:val="right"/>
            </w:pPr>
            <w:r>
              <w:rPr>
                <w:sz w:val="16"/>
              </w:rPr>
              <w:t xml:space="preserve">17</w:t>
            </w:r>
            <w:r>
              <w:rPr>
                <w:sz w:val="16"/>
              </w:rPr>
              <w:t xml:space="preserve">,</w:t>
            </w:r>
            <w:r>
              <w:rPr>
                <w:sz w:val="16"/>
              </w:rPr>
              <w:t xml:space="preserve">970</w:t>
            </w:r>
          </w:p>
        </w:tc>
        <w:tc>
          <w:tcPr>
            <w:tcW w:type="dxa" w:w="1536"/>
            <w:tcMar>
              <w:left w:w="30" w:type="dxa"/>
              <w:right w:w="30" w:type="dxa"/>
            </w:tcMar>
          </w:tcPr>
          <w:p>
            <w:pPr>
              <w:pStyle w:val="Compact"/>
              <w:spacing w:after="0" w:before="0"/>
              <w:jc w:val="right"/>
            </w:pPr>
            <w:r>
              <w:rPr>
                <w:sz w:val="16"/>
              </w:rPr>
              <w:t xml:space="preserve">1</w:t>
            </w:r>
            <w:r>
              <w:rPr>
                <w:sz w:val="16"/>
              </w:rPr>
              <w:t xml:space="preserve">,</w:t>
            </w:r>
            <w:r>
              <w:rPr>
                <w:sz w:val="16"/>
              </w:rPr>
              <w:t xml:space="preserve">919</w:t>
            </w:r>
          </w:p>
        </w:tc>
        <w:tc>
          <w:tcPr>
            <w:tcW w:type="dxa" w:w="1536"/>
            <w:tcMar>
              <w:left w:w="30" w:type="dxa"/>
              <w:right w:w="30" w:type="dxa"/>
            </w:tcMar>
          </w:tcPr>
          <w:p>
            <w:pPr>
              <w:pStyle w:val="Compact"/>
              <w:spacing w:after="0" w:before="0"/>
              <w:jc w:val="right"/>
            </w:pPr>
            <w:r>
              <w:rPr>
                <w:sz w:val="16"/>
              </w:rPr>
              <w:t xml:space="preserve">7</w:t>
            </w:r>
            <w:r>
              <w:rPr>
                <w:sz w:val="16"/>
              </w:rPr>
              <w:t xml:space="preserve">,</w:t>
            </w:r>
            <w:r>
              <w:rPr>
                <w:sz w:val="16"/>
              </w:rPr>
              <w:t xml:space="preserve">212</w:t>
            </w:r>
          </w:p>
        </w:tc>
      </w:tr>
      <w:tr>
        <w:tc>
          <w:tcPr>
            <w:tcW w:type="dxa" w:w="768"/>
            <w:tcMar>
              <w:left w:w="30" w:type="dxa"/>
              <w:right w:w="30" w:type="dxa"/>
            </w:tcMar>
          </w:tcPr>
          <w:p>
            <w:pPr>
              <w:pStyle w:val="Compact"/>
              <w:spacing w:after="0" w:before="0"/>
              <w:jc w:val="left"/>
            </w:pPr>
            <w:r>
              <w:rPr>
                <w:sz w:val="16"/>
              </w:rPr>
              <w:t xml:space="preserve">2021</w:t>
            </w:r>
          </w:p>
        </w:tc>
        <w:tc>
          <w:tcPr>
            <w:tcW w:type="dxa" w:w="1344"/>
            <w:tcMar>
              <w:left w:w="30" w:type="dxa"/>
              <w:right w:w="30" w:type="dxa"/>
            </w:tcMar>
          </w:tcPr>
          <w:p>
            <w:pPr>
              <w:pStyle w:val="Compact"/>
              <w:spacing w:after="0" w:before="0"/>
              <w:jc w:val="right"/>
            </w:pPr>
            <w:r>
              <w:rPr>
                <w:sz w:val="16"/>
              </w:rPr>
              <w:t xml:space="preserve">2</w:t>
            </w:r>
            <w:r>
              <w:rPr>
                <w:sz w:val="16"/>
              </w:rPr>
              <w:t xml:space="preserve">,</w:t>
            </w:r>
            <w:r>
              <w:rPr>
                <w:sz w:val="16"/>
              </w:rPr>
              <w:t xml:space="preserve">247</w:t>
            </w:r>
          </w:p>
        </w:tc>
        <w:tc>
          <w:tcPr>
            <w:tcW w:type="dxa" w:w="960"/>
            <w:tcMar>
              <w:left w:w="30" w:type="dxa"/>
              <w:right w:w="30" w:type="dxa"/>
            </w:tcMar>
          </w:tcPr>
          <w:p>
            <w:pPr>
              <w:pStyle w:val="Compact"/>
              <w:spacing w:after="0" w:before="0"/>
              <w:jc w:val="right"/>
            </w:pPr>
            <w:r>
              <w:rPr>
                <w:sz w:val="16"/>
              </w:rPr>
              <w:t xml:space="preserve">2</w:t>
            </w:r>
            <w:r>
              <w:rPr>
                <w:sz w:val="16"/>
              </w:rPr>
              <w:t xml:space="preserve">,</w:t>
            </w:r>
            <w:r>
              <w:rPr>
                <w:sz w:val="16"/>
              </w:rPr>
              <w:t xml:space="preserve">116</w:t>
            </w:r>
          </w:p>
        </w:tc>
        <w:tc>
          <w:tcPr>
            <w:tcW w:type="dxa" w:w="960"/>
            <w:tcMar>
              <w:left w:w="30" w:type="dxa"/>
              <w:right w:w="30" w:type="dxa"/>
            </w:tcMar>
          </w:tcPr>
          <w:p>
            <w:pPr>
              <w:pStyle w:val="Compact"/>
              <w:spacing w:after="0" w:before="0"/>
              <w:jc w:val="right"/>
            </w:pPr>
            <w:r>
              <w:rPr>
                <w:sz w:val="16"/>
              </w:rPr>
              <w:t xml:space="preserve">6</w:t>
            </w:r>
            <w:r>
              <w:rPr>
                <w:sz w:val="16"/>
              </w:rPr>
              <w:t xml:space="preserve">,</w:t>
            </w:r>
            <w:r>
              <w:rPr>
                <w:sz w:val="16"/>
              </w:rPr>
              <w:t xml:space="preserve">606</w:t>
            </w:r>
          </w:p>
        </w:tc>
        <w:tc>
          <w:tcPr>
            <w:tcW w:type="dxa" w:w="1152"/>
            <w:tcMar>
              <w:left w:w="30" w:type="dxa"/>
              <w:right w:w="30" w:type="dxa"/>
            </w:tcMar>
          </w:tcPr>
          <w:p>
            <w:pPr>
              <w:pStyle w:val="Compact"/>
              <w:spacing w:after="0" w:before="0"/>
              <w:jc w:val="right"/>
            </w:pPr>
            <w:r>
              <w:rPr>
                <w:sz w:val="16"/>
              </w:rPr>
              <w:t xml:space="preserve">27</w:t>
            </w:r>
            <w:r>
              <w:rPr>
                <w:sz w:val="16"/>
              </w:rPr>
              <w:t xml:space="preserve">,</w:t>
            </w:r>
            <w:r>
              <w:rPr>
                <w:sz w:val="16"/>
              </w:rPr>
              <w:t xml:space="preserve">944</w:t>
            </w:r>
          </w:p>
        </w:tc>
        <w:tc>
          <w:tcPr>
            <w:tcW w:type="dxa" w:w="1536"/>
            <w:tcMar>
              <w:left w:w="30" w:type="dxa"/>
              <w:right w:w="30" w:type="dxa"/>
            </w:tcMar>
          </w:tcPr>
          <w:p>
            <w:pPr>
              <w:pStyle w:val="Compact"/>
              <w:spacing w:after="0" w:before="0"/>
              <w:jc w:val="right"/>
            </w:pPr>
            <w:r>
              <w:rPr>
                <w:sz w:val="16"/>
              </w:rPr>
              <w:t xml:space="preserve">21</w:t>
            </w:r>
            <w:r>
              <w:rPr>
                <w:sz w:val="16"/>
              </w:rPr>
              <w:t xml:space="preserve">,</w:t>
            </w:r>
            <w:r>
              <w:rPr>
                <w:sz w:val="16"/>
              </w:rPr>
              <w:t xml:space="preserve">312</w:t>
            </w:r>
          </w:p>
        </w:tc>
        <w:tc>
          <w:tcPr>
            <w:tcW w:type="dxa" w:w="1536"/>
            <w:tcMar>
              <w:left w:w="30" w:type="dxa"/>
              <w:right w:w="30" w:type="dxa"/>
            </w:tcMar>
          </w:tcPr>
          <w:p>
            <w:pPr>
              <w:pStyle w:val="Compact"/>
              <w:spacing w:after="0" w:before="0"/>
              <w:jc w:val="right"/>
            </w:pPr>
            <w:r>
              <w:rPr>
                <w:sz w:val="16"/>
              </w:rPr>
              <w:t xml:space="preserve">2</w:t>
            </w:r>
            <w:r>
              <w:rPr>
                <w:sz w:val="16"/>
              </w:rPr>
              <w:t xml:space="preserve">,</w:t>
            </w:r>
            <w:r>
              <w:rPr>
                <w:sz w:val="16"/>
              </w:rPr>
              <w:t xml:space="preserve">077</w:t>
            </w:r>
          </w:p>
        </w:tc>
        <w:tc>
          <w:tcPr>
            <w:tcW w:type="dxa" w:w="1536"/>
            <w:tcMar>
              <w:left w:w="30" w:type="dxa"/>
              <w:right w:w="30" w:type="dxa"/>
            </w:tcMar>
          </w:tcPr>
          <w:p>
            <w:pPr>
              <w:pStyle w:val="Compact"/>
              <w:spacing w:after="0" w:before="0"/>
              <w:jc w:val="right"/>
            </w:pPr>
            <w:r>
              <w:rPr>
                <w:sz w:val="16"/>
              </w:rPr>
              <w:t xml:space="preserve">8</w:t>
            </w:r>
            <w:r>
              <w:rPr>
                <w:sz w:val="16"/>
              </w:rPr>
              <w:t xml:space="preserve">,</w:t>
            </w:r>
            <w:r>
              <w:rPr>
                <w:sz w:val="16"/>
              </w:rPr>
              <w:t xml:space="preserve">216</w:t>
            </w:r>
          </w:p>
        </w:tc>
      </w:tr>
      <w:tr>
        <w:tc>
          <w:tcPr>
            <w:tcW w:type="dxa" w:w="768"/>
            <w:tcMar>
              <w:left w:w="30" w:type="dxa"/>
              <w:right w:w="30" w:type="dxa"/>
            </w:tcMar>
          </w:tcPr>
          <w:p>
            <w:pPr>
              <w:pStyle w:val="Compact"/>
              <w:spacing w:after="0" w:before="0"/>
              <w:jc w:val="left"/>
            </w:pPr>
            <w:r>
              <w:rPr>
                <w:sz w:val="16"/>
              </w:rPr>
              <w:t xml:space="preserve">2022</w:t>
            </w:r>
          </w:p>
        </w:tc>
        <w:tc>
          <w:tcPr>
            <w:tcW w:type="dxa" w:w="1344"/>
            <w:tcMar>
              <w:left w:w="30" w:type="dxa"/>
              <w:right w:w="30" w:type="dxa"/>
            </w:tcMar>
          </w:tcPr>
          <w:p>
            <w:pPr>
              <w:pStyle w:val="Compact"/>
              <w:spacing w:after="0" w:before="0"/>
              <w:jc w:val="right"/>
            </w:pPr>
            <w:r>
              <w:rPr>
                <w:sz w:val="16"/>
              </w:rPr>
              <w:t xml:space="preserve">2</w:t>
            </w:r>
            <w:r>
              <w:rPr>
                <w:sz w:val="16"/>
              </w:rPr>
              <w:t xml:space="preserve">,</w:t>
            </w:r>
            <w:r>
              <w:rPr>
                <w:sz w:val="16"/>
              </w:rPr>
              <w:t xml:space="preserve">291</w:t>
            </w:r>
          </w:p>
        </w:tc>
        <w:tc>
          <w:tcPr>
            <w:tcW w:type="dxa" w:w="960"/>
            <w:tcMar>
              <w:left w:w="30" w:type="dxa"/>
              <w:right w:w="30" w:type="dxa"/>
            </w:tcMar>
          </w:tcPr>
          <w:p>
            <w:pPr>
              <w:pStyle w:val="Compact"/>
              <w:spacing w:after="0" w:before="0"/>
              <w:jc w:val="right"/>
            </w:pPr>
            <w:r>
              <w:rPr>
                <w:sz w:val="16"/>
              </w:rPr>
              <w:t xml:space="preserve">2</w:t>
            </w:r>
            <w:r>
              <w:rPr>
                <w:sz w:val="16"/>
              </w:rPr>
              <w:t xml:space="preserve">,</w:t>
            </w:r>
            <w:r>
              <w:rPr>
                <w:sz w:val="16"/>
              </w:rPr>
              <w:t xml:space="preserve">258</w:t>
            </w:r>
          </w:p>
        </w:tc>
        <w:tc>
          <w:tcPr>
            <w:tcW w:type="dxa" w:w="960"/>
            <w:tcMar>
              <w:left w:w="30" w:type="dxa"/>
              <w:right w:w="30" w:type="dxa"/>
            </w:tcMar>
          </w:tcPr>
          <w:p>
            <w:pPr>
              <w:pStyle w:val="Compact"/>
              <w:spacing w:after="0" w:before="0"/>
              <w:jc w:val="right"/>
            </w:pPr>
            <w:r>
              <w:rPr>
                <w:sz w:val="16"/>
              </w:rPr>
              <w:t xml:space="preserve">6</w:t>
            </w:r>
            <w:r>
              <w:rPr>
                <w:sz w:val="16"/>
              </w:rPr>
              <w:t xml:space="preserve">,</w:t>
            </w:r>
            <w:r>
              <w:rPr>
                <w:sz w:val="16"/>
              </w:rPr>
              <w:t xml:space="preserve">830</w:t>
            </w:r>
          </w:p>
        </w:tc>
        <w:tc>
          <w:tcPr>
            <w:tcW w:type="dxa" w:w="1152"/>
            <w:tcMar>
              <w:left w:w="30" w:type="dxa"/>
              <w:right w:w="30" w:type="dxa"/>
            </w:tcMar>
          </w:tcPr>
          <w:p>
            <w:pPr>
              <w:pStyle w:val="Compact"/>
              <w:spacing w:after="0" w:before="0"/>
              <w:jc w:val="right"/>
            </w:pPr>
            <w:r>
              <w:rPr>
                <w:sz w:val="16"/>
              </w:rPr>
              <w:t xml:space="preserve">26</w:t>
            </w:r>
            <w:r>
              <w:rPr>
                <w:sz w:val="16"/>
              </w:rPr>
              <w:t xml:space="preserve">,</w:t>
            </w:r>
            <w:r>
              <w:rPr>
                <w:sz w:val="16"/>
              </w:rPr>
              <w:t xml:space="preserve">533</w:t>
            </w:r>
          </w:p>
        </w:tc>
        <w:tc>
          <w:tcPr>
            <w:tcW w:type="dxa" w:w="1536"/>
            <w:tcMar>
              <w:left w:w="30" w:type="dxa"/>
              <w:right w:w="30" w:type="dxa"/>
            </w:tcMar>
          </w:tcPr>
          <w:p>
            <w:pPr>
              <w:pStyle w:val="Compact"/>
              <w:spacing w:after="0" w:before="0"/>
              <w:jc w:val="right"/>
            </w:pPr>
            <w:r>
              <w:rPr>
                <w:sz w:val="16"/>
              </w:rPr>
              <w:t xml:space="preserve">22</w:t>
            </w:r>
            <w:r>
              <w:rPr>
                <w:sz w:val="16"/>
              </w:rPr>
              <w:t xml:space="preserve">,</w:t>
            </w:r>
            <w:r>
              <w:rPr>
                <w:sz w:val="16"/>
              </w:rPr>
              <w:t xml:space="preserve">720</w:t>
            </w:r>
          </w:p>
        </w:tc>
        <w:tc>
          <w:tcPr>
            <w:tcW w:type="dxa" w:w="1536"/>
            <w:tcMar>
              <w:left w:w="30" w:type="dxa"/>
              <w:right w:w="30" w:type="dxa"/>
            </w:tcMar>
          </w:tcPr>
          <w:p>
            <w:pPr>
              <w:pStyle w:val="Compact"/>
              <w:spacing w:after="0" w:before="0"/>
              <w:jc w:val="right"/>
            </w:pPr>
            <w:r>
              <w:rPr>
                <w:sz w:val="16"/>
              </w:rPr>
              <w:t xml:space="preserve">2</w:t>
            </w:r>
            <w:r>
              <w:rPr>
                <w:sz w:val="16"/>
              </w:rPr>
              <w:t xml:space="preserve">,</w:t>
            </w:r>
            <w:r>
              <w:rPr>
                <w:sz w:val="16"/>
              </w:rPr>
              <w:t xml:space="preserve">105</w:t>
            </w:r>
          </w:p>
        </w:tc>
        <w:tc>
          <w:tcPr>
            <w:tcW w:type="dxa" w:w="1536"/>
            <w:tcMar>
              <w:left w:w="30" w:type="dxa"/>
              <w:right w:w="30" w:type="dxa"/>
            </w:tcMar>
          </w:tcPr>
          <w:p>
            <w:pPr>
              <w:pStyle w:val="Compact"/>
              <w:spacing w:after="0" w:before="0"/>
              <w:jc w:val="right"/>
            </w:pPr>
            <w:r>
              <w:rPr>
                <w:sz w:val="16"/>
              </w:rPr>
              <w:t xml:space="preserve">8</w:t>
            </w:r>
            <w:r>
              <w:rPr>
                <w:sz w:val="16"/>
              </w:rPr>
              <w:t xml:space="preserve">,</w:t>
            </w:r>
            <w:r>
              <w:rPr>
                <w:sz w:val="16"/>
              </w:rPr>
              <w:t xml:space="preserve">158</w:t>
            </w:r>
          </w:p>
        </w:tc>
      </w:tr>
      <w:tr>
        <w:tc>
          <w:tcPr>
            <w:tcW w:type="dxa" w:w="768"/>
            <w:tcMar>
              <w:left w:w="30" w:type="dxa"/>
              <w:right w:w="30" w:type="dxa"/>
            </w:tcMar>
          </w:tcPr>
          <w:p>
            <w:pPr>
              <w:pStyle w:val="Compact"/>
              <w:spacing w:after="0" w:before="0"/>
              <w:jc w:val="left"/>
            </w:pPr>
            <w:r>
              <w:rPr>
                <w:sz w:val="16"/>
              </w:rPr>
              <w:t xml:space="preserve">2023</w:t>
            </w:r>
          </w:p>
        </w:tc>
        <w:tc>
          <w:tcPr>
            <w:tcW w:type="dxa" w:w="1344"/>
            <w:tcMar>
              <w:left w:w="30" w:type="dxa"/>
              <w:right w:w="30" w:type="dxa"/>
            </w:tcMar>
          </w:tcPr>
          <w:p>
            <w:pPr>
              <w:pStyle w:val="Compact"/>
              <w:spacing w:after="0" w:before="0"/>
              <w:jc w:val="right"/>
            </w:pPr>
            <w:r>
              <w:rPr>
                <w:sz w:val="16"/>
              </w:rPr>
              <w:t xml:space="preserve">2</w:t>
            </w:r>
            <w:r>
              <w:rPr>
                <w:sz w:val="16"/>
              </w:rPr>
              <w:t xml:space="preserve">,</w:t>
            </w:r>
            <w:r>
              <w:rPr>
                <w:sz w:val="16"/>
              </w:rPr>
              <w:t xml:space="preserve">329</w:t>
            </w:r>
          </w:p>
        </w:tc>
        <w:tc>
          <w:tcPr>
            <w:tcW w:type="dxa" w:w="960"/>
            <w:tcMar>
              <w:left w:w="30" w:type="dxa"/>
              <w:right w:w="30" w:type="dxa"/>
            </w:tcMar>
          </w:tcPr>
          <w:p>
            <w:pPr>
              <w:pStyle w:val="Compact"/>
              <w:spacing w:after="0" w:before="0"/>
              <w:jc w:val="right"/>
            </w:pPr>
            <w:r>
              <w:rPr>
                <w:sz w:val="16"/>
              </w:rPr>
              <w:t xml:space="preserve">2</w:t>
            </w:r>
            <w:r>
              <w:rPr>
                <w:sz w:val="16"/>
              </w:rPr>
              <w:t xml:space="preserve">,</w:t>
            </w:r>
            <w:r>
              <w:rPr>
                <w:sz w:val="16"/>
              </w:rPr>
              <w:t xml:space="preserve">295</w:t>
            </w:r>
          </w:p>
        </w:tc>
        <w:tc>
          <w:tcPr>
            <w:tcW w:type="dxa" w:w="960"/>
            <w:tcMar>
              <w:left w:w="30" w:type="dxa"/>
              <w:right w:w="30" w:type="dxa"/>
            </w:tcMar>
          </w:tcPr>
          <w:p>
            <w:pPr>
              <w:pStyle w:val="Compact"/>
              <w:spacing w:after="0" w:before="0"/>
              <w:jc w:val="right"/>
            </w:pPr>
            <w:r>
              <w:rPr>
                <w:sz w:val="16"/>
              </w:rPr>
              <w:t xml:space="preserve">6</w:t>
            </w:r>
            <w:r>
              <w:rPr>
                <w:sz w:val="16"/>
              </w:rPr>
              <w:t xml:space="preserve">,</w:t>
            </w:r>
            <w:r>
              <w:rPr>
                <w:sz w:val="16"/>
              </w:rPr>
              <w:t xml:space="preserve">938</w:t>
            </w:r>
          </w:p>
        </w:tc>
        <w:tc>
          <w:tcPr>
            <w:tcW w:type="dxa" w:w="1152"/>
            <w:tcMar>
              <w:left w:w="30" w:type="dxa"/>
              <w:right w:w="30" w:type="dxa"/>
            </w:tcMar>
          </w:tcPr>
          <w:p>
            <w:pPr>
              <w:pStyle w:val="Compact"/>
              <w:spacing w:after="0" w:before="0"/>
              <w:jc w:val="right"/>
            </w:pPr>
            <w:r>
              <w:rPr>
                <w:sz w:val="16"/>
              </w:rPr>
              <w:t xml:space="preserve">26</w:t>
            </w:r>
            <w:r>
              <w:rPr>
                <w:sz w:val="16"/>
              </w:rPr>
              <w:t xml:space="preserve">,</w:t>
            </w:r>
            <w:r>
              <w:rPr>
                <w:sz w:val="16"/>
              </w:rPr>
              <w:t xml:space="preserve">851</w:t>
            </w:r>
          </w:p>
        </w:tc>
        <w:tc>
          <w:tcPr>
            <w:tcW w:type="dxa" w:w="1536"/>
            <w:tcMar>
              <w:left w:w="30" w:type="dxa"/>
              <w:right w:w="30" w:type="dxa"/>
            </w:tcMar>
          </w:tcPr>
          <w:p>
            <w:pPr>
              <w:pStyle w:val="Compact"/>
              <w:spacing w:after="0" w:before="0"/>
              <w:jc w:val="right"/>
            </w:pPr>
            <w:r>
              <w:rPr>
                <w:sz w:val="16"/>
              </w:rPr>
              <w:t xml:space="preserve">22</w:t>
            </w:r>
            <w:r>
              <w:rPr>
                <w:sz w:val="16"/>
              </w:rPr>
              <w:t xml:space="preserve">,</w:t>
            </w:r>
            <w:r>
              <w:rPr>
                <w:sz w:val="16"/>
              </w:rPr>
              <w:t xml:space="preserve">955</w:t>
            </w:r>
          </w:p>
        </w:tc>
        <w:tc>
          <w:tcPr>
            <w:tcW w:type="dxa" w:w="1536"/>
            <w:tcMar>
              <w:left w:w="30" w:type="dxa"/>
              <w:right w:w="30" w:type="dxa"/>
            </w:tcMar>
          </w:tcPr>
          <w:p>
            <w:pPr>
              <w:pStyle w:val="Compact"/>
              <w:spacing w:after="0" w:before="0"/>
              <w:jc w:val="right"/>
            </w:pPr>
            <w:r>
              <w:rPr>
                <w:sz w:val="16"/>
              </w:rPr>
              <w:t xml:space="preserve">2</w:t>
            </w:r>
            <w:r>
              <w:rPr>
                <w:sz w:val="16"/>
              </w:rPr>
              <w:t xml:space="preserve">,</w:t>
            </w:r>
            <w:r>
              <w:rPr>
                <w:sz w:val="16"/>
              </w:rPr>
              <w:t xml:space="preserve">129</w:t>
            </w:r>
          </w:p>
        </w:tc>
        <w:tc>
          <w:tcPr>
            <w:tcW w:type="dxa" w:w="1536"/>
            <w:tcMar>
              <w:left w:w="30" w:type="dxa"/>
              <w:right w:w="30" w:type="dxa"/>
            </w:tcMar>
          </w:tcPr>
          <w:p>
            <w:pPr>
              <w:pStyle w:val="Compact"/>
              <w:spacing w:after="0" w:before="0"/>
              <w:jc w:val="right"/>
            </w:pPr>
            <w:r>
              <w:rPr>
                <w:sz w:val="16"/>
              </w:rPr>
              <w:t xml:space="preserve">7</w:t>
            </w:r>
            <w:r>
              <w:rPr>
                <w:sz w:val="16"/>
              </w:rPr>
              <w:t xml:space="preserve">,</w:t>
            </w:r>
            <w:r>
              <w:rPr>
                <w:sz w:val="16"/>
              </w:rPr>
              <w:t xml:space="preserve">977</w:t>
            </w:r>
          </w:p>
        </w:tc>
      </w:tr>
      <w:tr>
        <w:tc>
          <w:tcPr>
            <w:tcW w:type="dxa" w:w="768"/>
            <w:tcMar>
              <w:left w:w="30" w:type="dxa"/>
              <w:right w:w="30" w:type="dxa"/>
            </w:tcMar>
          </w:tcPr>
          <w:p>
            <w:pPr>
              <w:pStyle w:val="Compact"/>
              <w:spacing w:after="0" w:before="0"/>
              <w:jc w:val="left"/>
            </w:pPr>
            <w:r>
              <w:rPr>
                <w:sz w:val="16"/>
              </w:rPr>
              <w:t xml:space="preserve">2024</w:t>
            </w:r>
          </w:p>
        </w:tc>
        <w:tc>
          <w:tcPr>
            <w:tcW w:type="dxa" w:w="1344"/>
            <w:tcMar>
              <w:left w:w="30" w:type="dxa"/>
              <w:right w:w="30" w:type="dxa"/>
            </w:tcMar>
          </w:tcPr>
          <w:p>
            <w:pPr>
              <w:pStyle w:val="Compact"/>
              <w:spacing w:after="0" w:before="0"/>
              <w:jc w:val="right"/>
            </w:pPr>
            <w:r>
              <w:rPr>
                <w:sz w:val="16"/>
              </w:rPr>
              <w:t xml:space="preserve">2</w:t>
            </w:r>
            <w:r>
              <w:rPr>
                <w:sz w:val="16"/>
              </w:rPr>
              <w:t xml:space="preserve">,</w:t>
            </w:r>
            <w:r>
              <w:rPr>
                <w:sz w:val="16"/>
              </w:rPr>
              <w:t xml:space="preserve">387</w:t>
            </w:r>
          </w:p>
        </w:tc>
        <w:tc>
          <w:tcPr>
            <w:tcW w:type="dxa" w:w="960"/>
            <w:tcMar>
              <w:left w:w="30" w:type="dxa"/>
              <w:right w:w="30" w:type="dxa"/>
            </w:tcMar>
          </w:tcPr>
          <w:p>
            <w:pPr>
              <w:pStyle w:val="Compact"/>
              <w:spacing w:after="0" w:before="0"/>
              <w:jc w:val="right"/>
            </w:pPr>
            <w:r>
              <w:rPr>
                <w:sz w:val="16"/>
              </w:rPr>
              <w:t xml:space="preserve">2</w:t>
            </w:r>
            <w:r>
              <w:rPr>
                <w:sz w:val="16"/>
              </w:rPr>
              <w:t xml:space="preserve">,</w:t>
            </w:r>
            <w:r>
              <w:rPr>
                <w:sz w:val="16"/>
              </w:rPr>
              <w:t xml:space="preserve">341</w:t>
            </w:r>
          </w:p>
        </w:tc>
        <w:tc>
          <w:tcPr>
            <w:tcW w:type="dxa" w:w="960"/>
            <w:tcMar>
              <w:left w:w="30" w:type="dxa"/>
              <w:right w:w="30" w:type="dxa"/>
            </w:tcMar>
          </w:tcPr>
          <w:p>
            <w:pPr>
              <w:pStyle w:val="Compact"/>
              <w:spacing w:after="0" w:before="0"/>
              <w:jc w:val="right"/>
            </w:pPr>
            <w:r>
              <w:rPr>
                <w:sz w:val="16"/>
              </w:rPr>
              <w:t xml:space="preserve">7</w:t>
            </w:r>
            <w:r>
              <w:rPr>
                <w:sz w:val="16"/>
              </w:rPr>
              <w:t xml:space="preserve">,</w:t>
            </w:r>
            <w:r>
              <w:rPr>
                <w:sz w:val="16"/>
              </w:rPr>
              <w:t xml:space="preserve">092</w:t>
            </w:r>
          </w:p>
        </w:tc>
        <w:tc>
          <w:tcPr>
            <w:tcW w:type="dxa" w:w="1152"/>
            <w:tcMar>
              <w:left w:w="30" w:type="dxa"/>
              <w:right w:w="30" w:type="dxa"/>
            </w:tcMar>
          </w:tcPr>
          <w:p>
            <w:pPr>
              <w:pStyle w:val="Compact"/>
              <w:spacing w:after="0" w:before="0"/>
              <w:jc w:val="right"/>
            </w:pPr>
            <w:r>
              <w:rPr>
                <w:sz w:val="16"/>
              </w:rPr>
              <w:t xml:space="preserve">27</w:t>
            </w:r>
            <w:r>
              <w:rPr>
                <w:sz w:val="16"/>
              </w:rPr>
              <w:t xml:space="preserve">,</w:t>
            </w:r>
            <w:r>
              <w:rPr>
                <w:sz w:val="16"/>
              </w:rPr>
              <w:t xml:space="preserve">438</w:t>
            </w:r>
          </w:p>
        </w:tc>
        <w:tc>
          <w:tcPr>
            <w:tcW w:type="dxa" w:w="1536"/>
            <w:tcMar>
              <w:left w:w="30" w:type="dxa"/>
              <w:right w:w="30" w:type="dxa"/>
            </w:tcMar>
          </w:tcPr>
          <w:p>
            <w:pPr>
              <w:pStyle w:val="Compact"/>
              <w:spacing w:after="0" w:before="0"/>
              <w:jc w:val="right"/>
            </w:pPr>
            <w:r>
              <w:rPr>
                <w:sz w:val="16"/>
              </w:rPr>
              <w:t xml:space="preserve">22</w:t>
            </w:r>
            <w:r>
              <w:rPr>
                <w:sz w:val="16"/>
              </w:rPr>
              <w:t xml:space="preserve">,</w:t>
            </w:r>
            <w:r>
              <w:rPr>
                <w:sz w:val="16"/>
              </w:rPr>
              <w:t xml:space="preserve">503</w:t>
            </w:r>
          </w:p>
        </w:tc>
        <w:tc>
          <w:tcPr>
            <w:tcW w:type="dxa" w:w="1536"/>
            <w:tcMar>
              <w:left w:w="30" w:type="dxa"/>
              <w:right w:w="30" w:type="dxa"/>
            </w:tcMar>
          </w:tcPr>
          <w:p>
            <w:pPr>
              <w:pStyle w:val="Compact"/>
              <w:spacing w:after="0" w:before="0"/>
              <w:jc w:val="right"/>
            </w:pPr>
            <w:r>
              <w:rPr>
                <w:sz w:val="16"/>
              </w:rPr>
              <w:t xml:space="preserve">2</w:t>
            </w:r>
            <w:r>
              <w:rPr>
                <w:sz w:val="16"/>
              </w:rPr>
              <w:t xml:space="preserve">,</w:t>
            </w:r>
            <w:r>
              <w:rPr>
                <w:sz w:val="16"/>
              </w:rPr>
              <w:t xml:space="preserve">204</w:t>
            </w:r>
          </w:p>
        </w:tc>
        <w:tc>
          <w:tcPr>
            <w:tcW w:type="dxa" w:w="1536"/>
            <w:tcMar>
              <w:left w:w="30" w:type="dxa"/>
              <w:right w:w="30" w:type="dxa"/>
            </w:tcMar>
          </w:tcPr>
          <w:p>
            <w:pPr>
              <w:pStyle w:val="Compact"/>
              <w:spacing w:after="0" w:before="0"/>
              <w:jc w:val="right"/>
            </w:pPr>
            <w:r>
              <w:rPr>
                <w:sz w:val="16"/>
              </w:rPr>
              <w:t xml:space="preserve">7</w:t>
            </w:r>
            <w:r>
              <w:rPr>
                <w:sz w:val="16"/>
              </w:rPr>
              <w:t xml:space="preserve">,</w:t>
            </w:r>
            <w:r>
              <w:rPr>
                <w:sz w:val="16"/>
              </w:rPr>
              <w:t xml:space="preserve">819</w:t>
            </w:r>
          </w:p>
        </w:tc>
      </w:tr>
      <w:tr>
        <w:tc>
          <w:tcPr>
            <w:tcW w:type="dxa" w:w="768"/>
            <w:tcMar>
              <w:left w:w="30" w:type="dxa"/>
              <w:right w:w="30" w:type="dxa"/>
            </w:tcMar>
          </w:tcPr>
          <w:p>
            <w:pPr>
              <w:pStyle w:val="Compact"/>
              <w:spacing w:after="0" w:before="0"/>
              <w:jc w:val="left"/>
            </w:pPr>
            <w:r>
              <w:rPr>
                <w:sz w:val="16"/>
              </w:rPr>
              <w:t xml:space="preserve">2025</w:t>
            </w:r>
          </w:p>
        </w:tc>
        <w:tc>
          <w:tcPr>
            <w:tcW w:type="dxa" w:w="1344"/>
            <w:tcMar>
              <w:left w:w="30" w:type="dxa"/>
              <w:right w:w="30" w:type="dxa"/>
            </w:tcMar>
          </w:tcPr>
          <w:p>
            <w:pPr>
              <w:pStyle w:val="Compact"/>
              <w:spacing w:after="0" w:before="0"/>
              <w:jc w:val="right"/>
            </w:pPr>
            <w:r>
              <w:rPr>
                <w:sz w:val="16"/>
              </w:rPr>
              <w:t xml:space="preserve">2</w:t>
            </w:r>
            <w:r>
              <w:rPr>
                <w:sz w:val="16"/>
              </w:rPr>
              <w:t xml:space="preserve">,</w:t>
            </w:r>
            <w:r>
              <w:rPr>
                <w:sz w:val="16"/>
              </w:rPr>
              <w:t xml:space="preserve">453</w:t>
            </w:r>
          </w:p>
        </w:tc>
        <w:tc>
          <w:tcPr>
            <w:tcW w:type="dxa" w:w="960"/>
            <w:tcMar>
              <w:left w:w="30" w:type="dxa"/>
              <w:right w:w="30" w:type="dxa"/>
            </w:tcMar>
          </w:tcPr>
          <w:p>
            <w:pPr>
              <w:pStyle w:val="Compact"/>
              <w:spacing w:after="0" w:before="0"/>
              <w:jc w:val="right"/>
            </w:pPr>
            <w:r>
              <w:rPr>
                <w:sz w:val="16"/>
              </w:rPr>
              <w:t xml:space="preserve">2</w:t>
            </w:r>
            <w:r>
              <w:rPr>
                <w:sz w:val="16"/>
              </w:rPr>
              <w:t xml:space="preserve">,</w:t>
            </w:r>
            <w:r>
              <w:rPr>
                <w:sz w:val="16"/>
              </w:rPr>
              <w:t xml:space="preserve">406</w:t>
            </w:r>
          </w:p>
        </w:tc>
        <w:tc>
          <w:tcPr>
            <w:tcW w:type="dxa" w:w="960"/>
            <w:tcMar>
              <w:left w:w="30" w:type="dxa"/>
              <w:right w:w="30" w:type="dxa"/>
            </w:tcMar>
          </w:tcPr>
          <w:p>
            <w:pPr>
              <w:pStyle w:val="Compact"/>
              <w:spacing w:after="0" w:before="0"/>
              <w:jc w:val="right"/>
            </w:pPr>
            <w:r>
              <w:rPr>
                <w:sz w:val="16"/>
              </w:rPr>
              <w:t xml:space="preserve">7</w:t>
            </w:r>
            <w:r>
              <w:rPr>
                <w:sz w:val="16"/>
              </w:rPr>
              <w:t xml:space="preserve">,</w:t>
            </w:r>
            <w:r>
              <w:rPr>
                <w:sz w:val="16"/>
              </w:rPr>
              <w:t xml:space="preserve">300</w:t>
            </w:r>
          </w:p>
        </w:tc>
        <w:tc>
          <w:tcPr>
            <w:tcW w:type="dxa" w:w="1152"/>
            <w:tcMar>
              <w:left w:w="30" w:type="dxa"/>
              <w:right w:w="30" w:type="dxa"/>
            </w:tcMar>
          </w:tcPr>
          <w:p>
            <w:pPr>
              <w:pStyle w:val="Compact"/>
              <w:spacing w:after="0" w:before="0"/>
              <w:jc w:val="right"/>
            </w:pPr>
            <w:r>
              <w:rPr>
                <w:sz w:val="16"/>
              </w:rPr>
              <w:t xml:space="preserve">28</w:t>
            </w:r>
            <w:r>
              <w:rPr>
                <w:sz w:val="16"/>
              </w:rPr>
              <w:t xml:space="preserve">,</w:t>
            </w:r>
            <w:r>
              <w:rPr>
                <w:sz w:val="16"/>
              </w:rPr>
              <w:t xml:space="preserve">716</w:t>
            </w:r>
          </w:p>
        </w:tc>
        <w:tc>
          <w:tcPr>
            <w:tcW w:type="dxa" w:w="1536"/>
            <w:tcMar>
              <w:left w:w="30" w:type="dxa"/>
              <w:right w:w="30" w:type="dxa"/>
            </w:tcMar>
          </w:tcPr>
          <w:p>
            <w:pPr>
              <w:pStyle w:val="Compact"/>
              <w:spacing w:after="0" w:before="0"/>
              <w:jc w:val="right"/>
            </w:pPr>
            <w:r>
              <w:rPr>
                <w:sz w:val="16"/>
              </w:rPr>
              <w:t xml:space="preserve">23</w:t>
            </w:r>
            <w:r>
              <w:rPr>
                <w:sz w:val="16"/>
              </w:rPr>
              <w:t xml:space="preserve">,</w:t>
            </w:r>
            <w:r>
              <w:rPr>
                <w:sz w:val="16"/>
              </w:rPr>
              <w:t xml:space="preserve">220</w:t>
            </w:r>
          </w:p>
        </w:tc>
        <w:tc>
          <w:tcPr>
            <w:tcW w:type="dxa" w:w="1536"/>
            <w:tcMar>
              <w:left w:w="30" w:type="dxa"/>
              <w:right w:w="30" w:type="dxa"/>
            </w:tcMar>
          </w:tcPr>
          <w:p>
            <w:pPr>
              <w:pStyle w:val="Compact"/>
              <w:spacing w:after="0" w:before="0"/>
              <w:jc w:val="right"/>
            </w:pPr>
            <w:r>
              <w:rPr>
                <w:sz w:val="16"/>
              </w:rPr>
              <w:t xml:space="preserve">2</w:t>
            </w:r>
            <w:r>
              <w:rPr>
                <w:sz w:val="16"/>
              </w:rPr>
              <w:t xml:space="preserve">,</w:t>
            </w:r>
            <w:r>
              <w:rPr>
                <w:sz w:val="16"/>
              </w:rPr>
              <w:t xml:space="preserve">280</w:t>
            </w:r>
          </w:p>
        </w:tc>
        <w:tc>
          <w:tcPr>
            <w:tcW w:type="dxa" w:w="1536"/>
            <w:tcMar>
              <w:left w:w="30" w:type="dxa"/>
              <w:right w:w="30" w:type="dxa"/>
            </w:tcMar>
          </w:tcPr>
          <w:p>
            <w:pPr>
              <w:pStyle w:val="Compact"/>
              <w:spacing w:after="0" w:before="0"/>
              <w:jc w:val="right"/>
            </w:pPr>
            <w:r>
              <w:rPr>
                <w:sz w:val="16"/>
              </w:rPr>
              <w:t xml:space="preserve">7</w:t>
            </w:r>
            <w:r>
              <w:rPr>
                <w:sz w:val="16"/>
              </w:rPr>
              <w:t xml:space="preserve">,</w:t>
            </w:r>
            <w:r>
              <w:rPr>
                <w:sz w:val="16"/>
              </w:rPr>
              <w:t xml:space="preserve">990</w:t>
            </w:r>
          </w:p>
        </w:tc>
      </w:tr>
      <w:tr>
        <w:tc>
          <w:tcPr>
            <w:tcW w:type="dxa" w:w="768"/>
            <w:tcMar>
              <w:left w:w="30" w:type="dxa"/>
              <w:right w:w="30" w:type="dxa"/>
            </w:tcMar>
          </w:tcPr>
          <w:p>
            <w:pPr>
              <w:pStyle w:val="Compact"/>
              <w:spacing w:after="0" w:before="0"/>
              <w:jc w:val="left"/>
            </w:pPr>
            <w:r>
              <w:rPr>
                <w:sz w:val="16"/>
              </w:rPr>
              <w:t xml:space="preserve">2026</w:t>
            </w:r>
          </w:p>
        </w:tc>
        <w:tc>
          <w:tcPr>
            <w:tcW w:type="dxa" w:w="1344"/>
            <w:tcMar>
              <w:left w:w="30" w:type="dxa"/>
              <w:right w:w="30" w:type="dxa"/>
            </w:tcMar>
          </w:tcPr>
          <w:p>
            <w:pPr>
              <w:pStyle w:val="Compact"/>
              <w:spacing w:after="0" w:before="0"/>
              <w:jc w:val="right"/>
            </w:pPr>
            <w:r>
              <w:rPr>
                <w:sz w:val="16"/>
              </w:rPr>
              <w:t xml:space="preserve">2</w:t>
            </w:r>
            <w:r>
              <w:rPr>
                <w:sz w:val="16"/>
              </w:rPr>
              <w:t xml:space="preserve">,</w:t>
            </w:r>
            <w:r>
              <w:rPr>
                <w:sz w:val="16"/>
              </w:rPr>
              <w:t xml:space="preserve">498</w:t>
            </w:r>
          </w:p>
        </w:tc>
        <w:tc>
          <w:tcPr>
            <w:tcW w:type="dxa" w:w="960"/>
            <w:tcMar>
              <w:left w:w="30" w:type="dxa"/>
              <w:right w:w="30" w:type="dxa"/>
            </w:tcMar>
          </w:tcPr>
          <w:p>
            <w:pPr>
              <w:pStyle w:val="Compact"/>
              <w:spacing w:after="0" w:before="0"/>
              <w:jc w:val="right"/>
            </w:pPr>
            <w:r>
              <w:rPr>
                <w:sz w:val="16"/>
              </w:rPr>
              <w:t xml:space="preserve">2</w:t>
            </w:r>
            <w:r>
              <w:rPr>
                <w:sz w:val="16"/>
              </w:rPr>
              <w:t xml:space="preserve">,</w:t>
            </w:r>
            <w:r>
              <w:rPr>
                <w:sz w:val="16"/>
              </w:rPr>
              <w:t xml:space="preserve">338</w:t>
            </w:r>
          </w:p>
        </w:tc>
        <w:tc>
          <w:tcPr>
            <w:tcW w:type="dxa" w:w="960"/>
            <w:tcMar>
              <w:left w:w="30" w:type="dxa"/>
              <w:right w:w="30" w:type="dxa"/>
            </w:tcMar>
          </w:tcPr>
          <w:p>
            <w:pPr>
              <w:pStyle w:val="Compact"/>
              <w:spacing w:after="0" w:before="0"/>
              <w:jc w:val="right"/>
            </w:pPr>
            <w:r>
              <w:rPr>
                <w:sz w:val="16"/>
              </w:rPr>
              <w:t xml:space="preserve">5</w:t>
            </w:r>
            <w:r>
              <w:rPr>
                <w:sz w:val="16"/>
              </w:rPr>
              <w:t xml:space="preserve">,</w:t>
            </w:r>
            <w:r>
              <w:rPr>
                <w:sz w:val="16"/>
              </w:rPr>
              <w:t xml:space="preserve">322</w:t>
            </w:r>
          </w:p>
        </w:tc>
        <w:tc>
          <w:tcPr>
            <w:tcW w:type="dxa" w:w="1152"/>
            <w:tcMar>
              <w:left w:w="30" w:type="dxa"/>
              <w:right w:w="30" w:type="dxa"/>
            </w:tcMar>
          </w:tcPr>
          <w:p>
            <w:pPr>
              <w:pStyle w:val="Compact"/>
              <w:spacing w:after="0" w:before="0"/>
              <w:jc w:val="right"/>
            </w:pPr>
            <w:r>
              <w:rPr>
                <w:sz w:val="16"/>
              </w:rPr>
              <w:t xml:space="preserve">23</w:t>
            </w:r>
            <w:r>
              <w:rPr>
                <w:sz w:val="16"/>
              </w:rPr>
              <w:t xml:space="preserve">,</w:t>
            </w:r>
            <w:r>
              <w:rPr>
                <w:sz w:val="16"/>
              </w:rPr>
              <w:t xml:space="preserve">972</w:t>
            </w:r>
          </w:p>
        </w:tc>
        <w:tc>
          <w:tcPr>
            <w:tcW w:type="dxa" w:w="1536"/>
            <w:tcMar>
              <w:left w:w="30" w:type="dxa"/>
              <w:right w:w="30" w:type="dxa"/>
            </w:tcMar>
          </w:tcPr>
          <w:p>
            <w:pPr>
              <w:pStyle w:val="Compact"/>
              <w:spacing w:after="0" w:before="0"/>
              <w:jc w:val="right"/>
            </w:pPr>
            <w:r>
              <w:rPr>
                <w:sz w:val="16"/>
              </w:rPr>
              <w:t xml:space="preserve">19</w:t>
            </w:r>
            <w:r>
              <w:rPr>
                <w:sz w:val="16"/>
              </w:rPr>
              <w:t xml:space="preserve">,</w:t>
            </w:r>
            <w:r>
              <w:rPr>
                <w:sz w:val="16"/>
              </w:rPr>
              <w:t xml:space="preserve">086</w:t>
            </w:r>
          </w:p>
        </w:tc>
        <w:tc>
          <w:tcPr>
            <w:tcW w:type="dxa" w:w="1536"/>
            <w:tcMar>
              <w:left w:w="30" w:type="dxa"/>
              <w:right w:w="30" w:type="dxa"/>
            </w:tcMar>
          </w:tcPr>
          <w:p>
            <w:pPr>
              <w:pStyle w:val="Compact"/>
              <w:spacing w:after="0" w:before="0"/>
              <w:jc w:val="right"/>
            </w:pPr>
            <w:r>
              <w:rPr>
                <w:sz w:val="16"/>
              </w:rPr>
              <w:t xml:space="preserve">2</w:t>
            </w:r>
            <w:r>
              <w:rPr>
                <w:sz w:val="16"/>
              </w:rPr>
              <w:t xml:space="preserve">,</w:t>
            </w:r>
            <w:r>
              <w:rPr>
                <w:sz w:val="16"/>
              </w:rPr>
              <w:t xml:space="preserve">260</w:t>
            </w:r>
          </w:p>
        </w:tc>
        <w:tc>
          <w:tcPr>
            <w:tcW w:type="dxa" w:w="1536"/>
            <w:tcMar>
              <w:left w:w="30" w:type="dxa"/>
              <w:right w:w="30" w:type="dxa"/>
            </w:tcMar>
          </w:tcPr>
          <w:p>
            <w:pPr>
              <w:pStyle w:val="Compact"/>
              <w:spacing w:after="0" w:before="0"/>
              <w:jc w:val="right"/>
            </w:pPr>
            <w:r>
              <w:rPr>
                <w:sz w:val="16"/>
              </w:rPr>
              <w:t xml:space="preserve">6</w:t>
            </w:r>
            <w:r>
              <w:rPr>
                <w:sz w:val="16"/>
              </w:rPr>
              <w:t xml:space="preserve">,</w:t>
            </w:r>
            <w:r>
              <w:rPr>
                <w:sz w:val="16"/>
              </w:rPr>
              <w:t xml:space="preserve">694</w:t>
            </w:r>
          </w:p>
        </w:tc>
      </w:tr>
    </w:tbl>
    <w:p/>
    <w:p>
      <w:pPr>
        <w:pStyle w:val="TableCaption"/>
      </w:pPr>
      <w:r>
        <w:t xml:space="preserve">Table 15: Issuers with the most resolved projects</w:t>
      </w:r>
    </w:p>
    <w:tbl>
      <w:tblPr>
        <w:tblStyle w:val="Table"/>
        <w:tblW w:type="auto" w:w="0"/>
        <w:tblLook w:firstRow="1" w:lastRow="0" w:firstColumn="0" w:lastColumn="0" w:noHBand="0" w:noVBand="0" w:val="0020"/>
        <w:tblCaption w:val="Table 15: Issuers with the most resolved projects"/>
      </w:tblPr>
      <w:tblGrid>
        <w:gridCol w:w="2640"/>
        <w:gridCol w:w="2640"/>
        <w:gridCol w:w="2640"/>
      </w:tblGrid>
      <w:tr>
        <w:trPr>
          <w:tblHeader w:val="on"/>
        </w:trPr>
        <w:tc>
          <w:tcPr/>
          <w:p>
            <w:pPr>
              <w:pStyle w:val="Compact"/>
              <w:jc w:val="left"/>
            </w:pPr>
            <w:r>
              <w:t xml:space="preserve">Ticker</w:t>
            </w:r>
          </w:p>
        </w:tc>
        <w:tc>
          <w:tcPr/>
          <w:p>
            <w:pPr>
              <w:pStyle w:val="Compact"/>
              <w:jc w:val="left"/>
            </w:pPr>
            <w:r>
              <w:t xml:space="preserve">Issuer</w:t>
            </w:r>
          </w:p>
        </w:tc>
        <w:tc>
          <w:tcPr/>
          <w:p>
            <w:pPr>
              <w:pStyle w:val="Compact"/>
              <w:jc w:val="right"/>
            </w:pPr>
            <w:r>
              <w:t xml:space="preserve">Resolved projects</w:t>
            </w:r>
          </w:p>
        </w:tc>
      </w:tr>
      <w:tr>
        <w:tc>
          <w:tcPr/>
          <w:p>
            <w:pPr>
              <w:pStyle w:val="Compact"/>
              <w:jc w:val="left"/>
            </w:pPr>
            <w:r>
              <w:t xml:space="preserve">UEC</w:t>
            </w:r>
          </w:p>
        </w:tc>
        <w:tc>
          <w:tcPr/>
          <w:p>
            <w:pPr>
              <w:pStyle w:val="Compact"/>
              <w:jc w:val="left"/>
            </w:pPr>
            <w:r>
              <w:t xml:space="preserve">Uranium Energy</w:t>
            </w:r>
          </w:p>
        </w:tc>
        <w:tc>
          <w:tcPr/>
          <w:p>
            <w:pPr>
              <w:pStyle w:val="Compact"/>
              <w:jc w:val="right"/>
            </w:pPr>
            <w:r>
              <w:t xml:space="preserve">240</w:t>
            </w:r>
          </w:p>
        </w:tc>
      </w:tr>
      <w:tr>
        <w:tc>
          <w:tcPr/>
          <w:p>
            <w:pPr>
              <w:pStyle w:val="Compact"/>
              <w:jc w:val="left"/>
            </w:pPr>
            <w:r>
              <w:t xml:space="preserve">UUUU</w:t>
            </w:r>
          </w:p>
        </w:tc>
        <w:tc>
          <w:tcPr/>
          <w:p>
            <w:pPr>
              <w:pStyle w:val="Compact"/>
              <w:jc w:val="left"/>
            </w:pPr>
            <w:r>
              <w:t xml:space="preserve">Energy Fuels</w:t>
            </w:r>
          </w:p>
        </w:tc>
        <w:tc>
          <w:tcPr/>
          <w:p>
            <w:pPr>
              <w:pStyle w:val="Compact"/>
              <w:jc w:val="right"/>
            </w:pPr>
            <w:r>
              <w:t xml:space="preserve">214</w:t>
            </w:r>
          </w:p>
        </w:tc>
      </w:tr>
      <w:tr>
        <w:tc>
          <w:tcPr/>
          <w:p>
            <w:pPr>
              <w:pStyle w:val="Compact"/>
              <w:jc w:val="left"/>
            </w:pPr>
            <w:r>
              <w:t xml:space="preserve">JBLU</w:t>
            </w:r>
          </w:p>
        </w:tc>
        <w:tc>
          <w:tcPr/>
          <w:p>
            <w:pPr>
              <w:pStyle w:val="Compact"/>
              <w:jc w:val="left"/>
            </w:pPr>
            <w:r>
              <w:t xml:space="preserve">Jetblue Airways</w:t>
            </w:r>
          </w:p>
        </w:tc>
        <w:tc>
          <w:tcPr/>
          <w:p>
            <w:pPr>
              <w:pStyle w:val="Compact"/>
              <w:jc w:val="right"/>
            </w:pPr>
            <w:r>
              <w:t xml:space="preserve">203</w:t>
            </w:r>
          </w:p>
        </w:tc>
      </w:tr>
      <w:tr>
        <w:tc>
          <w:tcPr/>
          <w:p>
            <w:pPr>
              <w:pStyle w:val="Compact"/>
              <w:jc w:val="left"/>
            </w:pPr>
            <w:r>
              <w:t xml:space="preserve">HAL</w:t>
            </w:r>
          </w:p>
        </w:tc>
        <w:tc>
          <w:tcPr/>
          <w:p>
            <w:pPr>
              <w:pStyle w:val="Compact"/>
              <w:jc w:val="left"/>
            </w:pPr>
            <w:r>
              <w:t xml:space="preserve">Halliburton</w:t>
            </w:r>
          </w:p>
        </w:tc>
        <w:tc>
          <w:tcPr/>
          <w:p>
            <w:pPr>
              <w:pStyle w:val="Compact"/>
              <w:jc w:val="right"/>
            </w:pPr>
            <w:r>
              <w:t xml:space="preserve">201</w:t>
            </w:r>
          </w:p>
        </w:tc>
      </w:tr>
      <w:tr>
        <w:tc>
          <w:tcPr/>
          <w:p>
            <w:pPr>
              <w:pStyle w:val="Compact"/>
              <w:jc w:val="left"/>
            </w:pPr>
            <w:r>
              <w:t xml:space="preserve">RIOT</w:t>
            </w:r>
          </w:p>
        </w:tc>
        <w:tc>
          <w:tcPr/>
          <w:p>
            <w:pPr>
              <w:pStyle w:val="Compact"/>
              <w:jc w:val="left"/>
            </w:pPr>
            <w:r>
              <w:t xml:space="preserve">Riot Platforms</w:t>
            </w:r>
          </w:p>
        </w:tc>
        <w:tc>
          <w:tcPr/>
          <w:p>
            <w:pPr>
              <w:pStyle w:val="Compact"/>
              <w:jc w:val="right"/>
            </w:pPr>
            <w:r>
              <w:t xml:space="preserve">195</w:t>
            </w:r>
          </w:p>
        </w:tc>
      </w:tr>
      <w:tr>
        <w:tc>
          <w:tcPr/>
          <w:p>
            <w:pPr>
              <w:pStyle w:val="Compact"/>
              <w:jc w:val="left"/>
            </w:pPr>
            <w:r>
              <w:t xml:space="preserve">EHC</w:t>
            </w:r>
          </w:p>
        </w:tc>
        <w:tc>
          <w:tcPr/>
          <w:p>
            <w:pPr>
              <w:pStyle w:val="Compact"/>
              <w:jc w:val="left"/>
            </w:pPr>
            <w:r>
              <w:t xml:space="preserve">Encompass Health</w:t>
            </w:r>
          </w:p>
        </w:tc>
        <w:tc>
          <w:tcPr/>
          <w:p>
            <w:pPr>
              <w:pStyle w:val="Compact"/>
              <w:jc w:val="right"/>
            </w:pPr>
            <w:r>
              <w:t xml:space="preserve">191</w:t>
            </w:r>
          </w:p>
        </w:tc>
      </w:tr>
      <w:tr>
        <w:tc>
          <w:tcPr/>
          <w:p>
            <w:pPr>
              <w:pStyle w:val="Compact"/>
              <w:jc w:val="left"/>
            </w:pPr>
            <w:r>
              <w:t xml:space="preserve">EBS</w:t>
            </w:r>
          </w:p>
        </w:tc>
        <w:tc>
          <w:tcPr/>
          <w:p>
            <w:pPr>
              <w:pStyle w:val="Compact"/>
              <w:jc w:val="left"/>
            </w:pPr>
            <w:r>
              <w:t xml:space="preserve">Emergent Biosolutions</w:t>
            </w:r>
          </w:p>
        </w:tc>
        <w:tc>
          <w:tcPr/>
          <w:p>
            <w:pPr>
              <w:pStyle w:val="Compact"/>
              <w:jc w:val="right"/>
            </w:pPr>
            <w:r>
              <w:t xml:space="preserve">187</w:t>
            </w:r>
          </w:p>
        </w:tc>
      </w:tr>
      <w:tr>
        <w:tc>
          <w:tcPr/>
          <w:p>
            <w:pPr>
              <w:pStyle w:val="Compact"/>
              <w:jc w:val="left"/>
            </w:pPr>
            <w:r>
              <w:t xml:space="preserve">MUX</w:t>
            </w:r>
          </w:p>
        </w:tc>
        <w:tc>
          <w:tcPr/>
          <w:p>
            <w:pPr>
              <w:pStyle w:val="Compact"/>
              <w:jc w:val="left"/>
            </w:pPr>
            <w:r>
              <w:t xml:space="preserve">Mcewen Inc</w:t>
            </w:r>
          </w:p>
        </w:tc>
        <w:tc>
          <w:tcPr/>
          <w:p>
            <w:pPr>
              <w:pStyle w:val="Compact"/>
              <w:jc w:val="right"/>
            </w:pPr>
            <w:r>
              <w:t xml:space="preserve">180</w:t>
            </w:r>
          </w:p>
        </w:tc>
      </w:tr>
      <w:tr>
        <w:tc>
          <w:tcPr/>
          <w:p>
            <w:pPr>
              <w:pStyle w:val="Compact"/>
              <w:jc w:val="left"/>
            </w:pPr>
            <w:r>
              <w:t xml:space="preserve">CDE</w:t>
            </w:r>
          </w:p>
        </w:tc>
        <w:tc>
          <w:tcPr/>
          <w:p>
            <w:pPr>
              <w:pStyle w:val="Compact"/>
              <w:jc w:val="left"/>
            </w:pPr>
            <w:r>
              <w:t xml:space="preserve">Coeur Mining</w:t>
            </w:r>
          </w:p>
        </w:tc>
        <w:tc>
          <w:tcPr/>
          <w:p>
            <w:pPr>
              <w:pStyle w:val="Compact"/>
              <w:jc w:val="right"/>
            </w:pPr>
            <w:r>
              <w:t xml:space="preserve">180</w:t>
            </w:r>
          </w:p>
        </w:tc>
      </w:tr>
      <w:tr>
        <w:tc>
          <w:tcPr/>
          <w:p>
            <w:pPr>
              <w:pStyle w:val="Compact"/>
              <w:jc w:val="left"/>
            </w:pPr>
            <w:r>
              <w:t xml:space="preserve">CLSK</w:t>
            </w:r>
          </w:p>
        </w:tc>
        <w:tc>
          <w:tcPr/>
          <w:p>
            <w:pPr>
              <w:pStyle w:val="Compact"/>
              <w:jc w:val="left"/>
            </w:pPr>
            <w:r>
              <w:t xml:space="preserve">Cleanspark</w:t>
            </w:r>
          </w:p>
        </w:tc>
        <w:tc>
          <w:tcPr/>
          <w:p>
            <w:pPr>
              <w:pStyle w:val="Compact"/>
              <w:jc w:val="right"/>
            </w:pPr>
            <w:r>
              <w:t xml:space="preserve">170</w:t>
            </w:r>
          </w:p>
        </w:tc>
      </w:tr>
      <w:tr>
        <w:tc>
          <w:tcPr/>
          <w:p>
            <w:pPr>
              <w:pStyle w:val="Compact"/>
              <w:jc w:val="left"/>
            </w:pPr>
            <w:r>
              <w:t xml:space="preserve">CWEN</w:t>
            </w:r>
          </w:p>
        </w:tc>
        <w:tc>
          <w:tcPr/>
          <w:p>
            <w:pPr>
              <w:pStyle w:val="Compact"/>
              <w:jc w:val="left"/>
            </w:pPr>
            <w:r>
              <w:t xml:space="preserve">Clearway Energy Inc Class C</w:t>
            </w:r>
          </w:p>
        </w:tc>
        <w:tc>
          <w:tcPr/>
          <w:p>
            <w:pPr>
              <w:pStyle w:val="Compact"/>
              <w:jc w:val="right"/>
            </w:pPr>
            <w:r>
              <w:t xml:space="preserve">168</w:t>
            </w:r>
          </w:p>
        </w:tc>
      </w:tr>
      <w:tr>
        <w:tc>
          <w:tcPr/>
          <w:p>
            <w:pPr>
              <w:pStyle w:val="Compact"/>
              <w:jc w:val="left"/>
            </w:pPr>
            <w:r>
              <w:t xml:space="preserve">ALK</w:t>
            </w:r>
          </w:p>
        </w:tc>
        <w:tc>
          <w:tcPr/>
          <w:p>
            <w:pPr>
              <w:pStyle w:val="Compact"/>
              <w:jc w:val="left"/>
            </w:pPr>
            <w:r>
              <w:t xml:space="preserve">Alaska Air Group Inc</w:t>
            </w:r>
          </w:p>
        </w:tc>
        <w:tc>
          <w:tcPr/>
          <w:p>
            <w:pPr>
              <w:pStyle w:val="Compact"/>
              <w:jc w:val="right"/>
            </w:pPr>
            <w:r>
              <w:t xml:space="preserve">168</w:t>
            </w:r>
          </w:p>
        </w:tc>
      </w:tr>
    </w:tbl>
    <w:p/>
    <w:p>
      <w:pPr>
        <w:pStyle w:val="TableCaption"/>
      </w:pPr>
      <w:r>
        <w:t xml:space="preserve">Table 16: Self-reported confidence of mentions</w:t>
      </w:r>
    </w:p>
    <w:tbl>
      <w:tblPr>
        <w:tblStyle w:val="Table"/>
        <w:tblW w:type="auto" w:w="0"/>
        <w:tblLook w:firstRow="1" w:lastRow="0" w:firstColumn="0" w:lastColumn="0" w:noHBand="0" w:noVBand="0" w:val="0020"/>
        <w:tblCaption w:val="Table 16: Self-reported confidence of mentions"/>
      </w:tblPr>
      <w:tblGrid>
        <w:gridCol w:w="3960"/>
        <w:gridCol w:w="3960"/>
      </w:tblGrid>
      <w:tr>
        <w:trPr>
          <w:tblHeader w:val="on"/>
        </w:trPr>
        <w:tc>
          <w:tcPr/>
          <w:p>
            <w:pPr>
              <w:pStyle w:val="Compact"/>
              <w:jc w:val="left"/>
            </w:pPr>
            <w:r>
              <w:t xml:space="preserve">Self-reported confidence (rounded)</w:t>
            </w:r>
          </w:p>
        </w:tc>
        <w:tc>
          <w:tcPr/>
          <w:p>
            <w:pPr>
              <w:pStyle w:val="Compact"/>
              <w:jc w:val="right"/>
            </w:pPr>
            <w:r>
              <w:t xml:space="preserve">Mentions</w:t>
            </w:r>
          </w:p>
        </w:tc>
      </w:tr>
      <w:tr>
        <w:tc>
          <w:tcPr/>
          <w:p>
            <w:pPr>
              <w:pStyle w:val="Compact"/>
              <w:jc w:val="left"/>
            </w:pPr>
            <w:r>
              <w:t xml:space="preserve">0.5</w:t>
            </w:r>
          </w:p>
        </w:tc>
        <w:tc>
          <w:tcPr/>
          <w:p>
            <w:pPr>
              <w:pStyle w:val="Compact"/>
              <w:jc w:val="right"/>
            </w:pPr>
            <w:r>
              <w:t xml:space="preserve">1</w:t>
            </w:r>
            <w:r>
              <w:t xml:space="preserve">,</w:t>
            </w:r>
            <w:r>
              <w:t xml:space="preserve">611</w:t>
            </w:r>
          </w:p>
        </w:tc>
      </w:tr>
      <w:tr>
        <w:tc>
          <w:tcPr/>
          <w:p>
            <w:pPr>
              <w:pStyle w:val="Compact"/>
              <w:jc w:val="left"/>
            </w:pPr>
            <w:r>
              <w:t xml:space="preserve">0.6</w:t>
            </w:r>
          </w:p>
        </w:tc>
        <w:tc>
          <w:tcPr/>
          <w:p>
            <w:pPr>
              <w:pStyle w:val="Compact"/>
              <w:jc w:val="right"/>
            </w:pPr>
            <w:r>
              <w:t xml:space="preserve">3</w:t>
            </w:r>
            <w:r>
              <w:t xml:space="preserve">,</w:t>
            </w:r>
            <w:r>
              <w:t xml:space="preserve">278</w:t>
            </w:r>
          </w:p>
        </w:tc>
      </w:tr>
      <w:tr>
        <w:tc>
          <w:tcPr/>
          <w:p>
            <w:pPr>
              <w:pStyle w:val="Compact"/>
              <w:jc w:val="left"/>
            </w:pPr>
            <w:r>
              <w:t xml:space="preserve">0.7</w:t>
            </w:r>
          </w:p>
        </w:tc>
        <w:tc>
          <w:tcPr/>
          <w:p>
            <w:pPr>
              <w:pStyle w:val="Compact"/>
              <w:jc w:val="right"/>
            </w:pPr>
            <w:r>
              <w:t xml:space="preserve">21</w:t>
            </w:r>
            <w:r>
              <w:t xml:space="preserve">,</w:t>
            </w:r>
            <w:r>
              <w:t xml:space="preserve">647</w:t>
            </w:r>
          </w:p>
        </w:tc>
      </w:tr>
      <w:tr>
        <w:tc>
          <w:tcPr/>
          <w:p>
            <w:pPr>
              <w:pStyle w:val="Compact"/>
              <w:jc w:val="left"/>
            </w:pPr>
            <w:r>
              <w:t xml:space="preserve">0.8</w:t>
            </w:r>
          </w:p>
        </w:tc>
        <w:tc>
          <w:tcPr/>
          <w:p>
            <w:pPr>
              <w:pStyle w:val="Compact"/>
              <w:jc w:val="right"/>
            </w:pPr>
            <w:r>
              <w:t xml:space="preserve">72</w:t>
            </w:r>
            <w:r>
              <w:t xml:space="preserve">,</w:t>
            </w:r>
            <w:r>
              <w:t xml:space="preserve">280</w:t>
            </w:r>
          </w:p>
        </w:tc>
      </w:tr>
      <w:tr>
        <w:tc>
          <w:tcPr/>
          <w:p>
            <w:pPr>
              <w:pStyle w:val="Compact"/>
              <w:jc w:val="left"/>
            </w:pPr>
            <w:r>
              <w:t xml:space="preserve">0.9</w:t>
            </w:r>
          </w:p>
        </w:tc>
        <w:tc>
          <w:tcPr/>
          <w:p>
            <w:pPr>
              <w:pStyle w:val="Compact"/>
              <w:jc w:val="right"/>
            </w:pPr>
            <w:r>
              <w:t xml:space="preserve">100</w:t>
            </w:r>
            <w:r>
              <w:t xml:space="preserve">,</w:t>
            </w:r>
            <w:r>
              <w:t xml:space="preserve">831</w:t>
            </w:r>
          </w:p>
        </w:tc>
      </w:tr>
      <w:tr>
        <w:tc>
          <w:tcPr/>
          <w:p>
            <w:pPr>
              <w:pStyle w:val="Compact"/>
              <w:jc w:val="left"/>
            </w:pPr>
            <w:r>
              <w:t xml:space="preserve">1.0</w:t>
            </w:r>
          </w:p>
        </w:tc>
        <w:tc>
          <w:tcPr/>
          <w:p>
            <w:pPr>
              <w:pStyle w:val="Compact"/>
              <w:jc w:val="right"/>
            </w:pPr>
            <w:r>
              <w:t xml:space="preserve">108</w:t>
            </w:r>
            <w:r>
              <w:t xml:space="preserve">,</w:t>
            </w:r>
            <w:r>
              <w:t xml:space="preserve">418</w:t>
            </w:r>
          </w:p>
        </w:tc>
      </w:tr>
    </w:tbl>
    <w:p/>
    <w:p>
      <w:pPr>
        <w:pStyle w:val="TableCaption"/>
      </w:pPr>
      <w:r>
        <w:t xml:space="preserve">Table 17: Knowledge graph composition</w:t>
      </w:r>
    </w:p>
    <w:tbl>
      <w:tblPr>
        <w:tblStyle w:val="Table"/>
        <w:tblW w:type="auto" w:w="0"/>
        <w:tblLook w:firstRow="1" w:lastRow="0" w:firstColumn="0" w:lastColumn="0" w:noHBand="0" w:noVBand="0" w:val="0020"/>
        <w:tblCaption w:val="Table 17: Knowledge graph composition"/>
      </w:tblPr>
      <w:tblGrid>
        <w:gridCol w:w="2640"/>
        <w:gridCol w:w="2640"/>
        <w:gridCol w:w="2640"/>
      </w:tblGrid>
      <w:tr>
        <w:trPr>
          <w:tblHeader w:val="on"/>
        </w:trPr>
        <w:tc>
          <w:tcPr/>
          <w:p>
            <w:pPr>
              <w:pStyle w:val="Compact"/>
            </w:pPr>
          </w:p>
        </w:tc>
        <w:tc>
          <w:tcPr/>
          <w:p>
            <w:pPr>
              <w:pStyle w:val="Compact"/>
              <w:jc w:val="left"/>
            </w:pPr>
            <w:r>
              <w:t xml:space="preserve">Type</w:t>
            </w:r>
          </w:p>
        </w:tc>
        <w:tc>
          <w:tcPr/>
          <w:p>
            <w:pPr>
              <w:pStyle w:val="Compact"/>
              <w:jc w:val="right"/>
            </w:pPr>
            <w:r>
              <w:t xml:space="preserve">Count</w:t>
            </w:r>
          </w:p>
        </w:tc>
      </w:tr>
      <w:tr>
        <w:tc>
          <w:tcPr/>
          <w:p>
            <w:pPr>
              <w:pStyle w:val="Compact"/>
              <w:jc w:val="left"/>
            </w:pPr>
            <w:r>
              <w:t xml:space="preserve">Edges</w:t>
            </w:r>
          </w:p>
        </w:tc>
        <w:tc>
          <w:tcPr/>
          <w:p>
            <w:pPr>
              <w:pStyle w:val="Compact"/>
              <w:jc w:val="left"/>
            </w:pPr>
            <w:r>
              <w:rPr>
                <w:rStyle w:val="VerbatimChar"/>
              </w:rPr>
              <w:t xml:space="preserve">owns</w:t>
            </w:r>
          </w:p>
        </w:tc>
        <w:tc>
          <w:tcPr/>
          <w:p>
            <w:pPr>
              <w:pStyle w:val="Compact"/>
              <w:jc w:val="right"/>
            </w:pPr>
            <w:r>
              <w:t xml:space="preserve">121</w:t>
            </w:r>
            <w:r>
              <w:t xml:space="preserve">,</w:t>
            </w:r>
            <w:r>
              <w:t xml:space="preserve">099</w:t>
            </w:r>
          </w:p>
        </w:tc>
      </w:tr>
      <w:tr>
        <w:tc>
          <w:tcPr/>
          <w:p>
            <w:pPr>
              <w:pStyle w:val="Compact"/>
              <w:jc w:val="left"/>
            </w:pPr>
            <w:r>
              <w:t xml:space="preserve">Edges</w:t>
            </w:r>
          </w:p>
        </w:tc>
        <w:tc>
          <w:tcPr/>
          <w:p>
            <w:pPr>
              <w:pStyle w:val="Compact"/>
              <w:jc w:val="left"/>
            </w:pPr>
            <w:r>
              <w:rPr>
                <w:rStyle w:val="VerbatimChar"/>
              </w:rPr>
              <w:t xml:space="preserve">located_in</w:t>
            </w:r>
          </w:p>
        </w:tc>
        <w:tc>
          <w:tcPr/>
          <w:p>
            <w:pPr>
              <w:pStyle w:val="Compact"/>
              <w:jc w:val="right"/>
            </w:pPr>
            <w:r>
              <w:t xml:space="preserve">54</w:t>
            </w:r>
            <w:r>
              <w:t xml:space="preserve">,</w:t>
            </w:r>
            <w:r>
              <w:t xml:space="preserve">583</w:t>
            </w:r>
          </w:p>
        </w:tc>
      </w:tr>
      <w:tr>
        <w:tc>
          <w:tcPr/>
          <w:p>
            <w:pPr>
              <w:pStyle w:val="Compact"/>
              <w:jc w:val="left"/>
            </w:pPr>
            <w:r>
              <w:t xml:space="preserve">Edges</w:t>
            </w:r>
          </w:p>
        </w:tc>
        <w:tc>
          <w:tcPr/>
          <w:p>
            <w:pPr>
              <w:pStyle w:val="Compact"/>
              <w:jc w:val="left"/>
            </w:pPr>
            <w:r>
              <w:rPr>
                <w:rStyle w:val="VerbatimChar"/>
              </w:rPr>
              <w:t xml:space="preserve">uses</w:t>
            </w:r>
          </w:p>
        </w:tc>
        <w:tc>
          <w:tcPr/>
          <w:p>
            <w:pPr>
              <w:pStyle w:val="Compact"/>
              <w:jc w:val="right"/>
            </w:pPr>
            <w:r>
              <w:t xml:space="preserve">28</w:t>
            </w:r>
            <w:r>
              <w:t xml:space="preserve">,</w:t>
            </w:r>
            <w:r>
              <w:t xml:space="preserve">774</w:t>
            </w:r>
          </w:p>
        </w:tc>
      </w:tr>
      <w:tr>
        <w:tc>
          <w:tcPr/>
          <w:p>
            <w:pPr>
              <w:pStyle w:val="Compact"/>
              <w:jc w:val="left"/>
            </w:pPr>
            <w:r>
              <w:t xml:space="preserve">Nodes</w:t>
            </w:r>
          </w:p>
        </w:tc>
        <w:tc>
          <w:tcPr/>
          <w:p>
            <w:pPr>
              <w:pStyle w:val="Compact"/>
              <w:jc w:val="left"/>
            </w:pPr>
            <w:r>
              <w:rPr>
                <w:rStyle w:val="VerbatimChar"/>
              </w:rPr>
              <w:t xml:space="preserve">Project</w:t>
            </w:r>
          </w:p>
        </w:tc>
        <w:tc>
          <w:tcPr/>
          <w:p>
            <w:pPr>
              <w:pStyle w:val="Compact"/>
              <w:jc w:val="right"/>
            </w:pPr>
            <w:r>
              <w:t xml:space="preserve">121</w:t>
            </w:r>
            <w:r>
              <w:t xml:space="preserve">,</w:t>
            </w:r>
            <w:r>
              <w:t xml:space="preserve">099</w:t>
            </w:r>
          </w:p>
        </w:tc>
      </w:tr>
      <w:tr>
        <w:tc>
          <w:tcPr/>
          <w:p>
            <w:pPr>
              <w:pStyle w:val="Compact"/>
              <w:jc w:val="left"/>
            </w:pPr>
            <w:r>
              <w:t xml:space="preserve">Nodes</w:t>
            </w:r>
          </w:p>
        </w:tc>
        <w:tc>
          <w:tcPr/>
          <w:p>
            <w:pPr>
              <w:pStyle w:val="Compact"/>
              <w:jc w:val="left"/>
            </w:pPr>
            <w:r>
              <w:rPr>
                <w:rStyle w:val="VerbatimChar"/>
              </w:rPr>
              <w:t xml:space="preserve">Partner</w:t>
            </w:r>
          </w:p>
        </w:tc>
        <w:tc>
          <w:tcPr/>
          <w:p>
            <w:pPr>
              <w:pStyle w:val="Compact"/>
              <w:jc w:val="right"/>
            </w:pPr>
            <w:r>
              <w:t xml:space="preserve">36</w:t>
            </w:r>
            <w:r>
              <w:t xml:space="preserve">,</w:t>
            </w:r>
            <w:r>
              <w:t xml:space="preserve">822</w:t>
            </w:r>
          </w:p>
        </w:tc>
      </w:tr>
      <w:tr>
        <w:tc>
          <w:tcPr/>
          <w:p>
            <w:pPr>
              <w:pStyle w:val="Compact"/>
              <w:jc w:val="left"/>
            </w:pPr>
            <w:r>
              <w:t xml:space="preserve">Nodes</w:t>
            </w:r>
          </w:p>
        </w:tc>
        <w:tc>
          <w:tcPr/>
          <w:p>
            <w:pPr>
              <w:pStyle w:val="Compact"/>
              <w:jc w:val="left"/>
            </w:pPr>
            <w:r>
              <w:rPr>
                <w:rStyle w:val="VerbatimChar"/>
              </w:rPr>
              <w:t xml:space="preserve">Location</w:t>
            </w:r>
          </w:p>
        </w:tc>
        <w:tc>
          <w:tcPr/>
          <w:p>
            <w:pPr>
              <w:pStyle w:val="Compact"/>
              <w:jc w:val="right"/>
            </w:pPr>
            <w:r>
              <w:t xml:space="preserve">14</w:t>
            </w:r>
            <w:r>
              <w:t xml:space="preserve">,</w:t>
            </w:r>
            <w:r>
              <w:t xml:space="preserve">508</w:t>
            </w:r>
          </w:p>
        </w:tc>
      </w:tr>
      <w:tr>
        <w:tc>
          <w:tcPr/>
          <w:p>
            <w:pPr>
              <w:pStyle w:val="Compact"/>
              <w:jc w:val="left"/>
            </w:pPr>
            <w:r>
              <w:t xml:space="preserve">Nodes</w:t>
            </w:r>
          </w:p>
        </w:tc>
        <w:tc>
          <w:tcPr/>
          <w:p>
            <w:pPr>
              <w:pStyle w:val="Compact"/>
              <w:jc w:val="left"/>
            </w:pPr>
            <w:r>
              <w:rPr>
                <w:rStyle w:val="VerbatimChar"/>
              </w:rPr>
              <w:t xml:space="preserve">Technology</w:t>
            </w:r>
          </w:p>
        </w:tc>
        <w:tc>
          <w:tcPr/>
          <w:p>
            <w:pPr>
              <w:pStyle w:val="Compact"/>
              <w:jc w:val="right"/>
            </w:pPr>
            <w:r>
              <w:t xml:space="preserve">8</w:t>
            </w:r>
            <w:r>
              <w:t xml:space="preserve">,</w:t>
            </w:r>
            <w:r>
              <w:t xml:space="preserve">551</w:t>
            </w:r>
          </w:p>
        </w:tc>
      </w:tr>
      <w:tr>
        <w:tc>
          <w:tcPr/>
          <w:p>
            <w:pPr>
              <w:pStyle w:val="Compact"/>
              <w:jc w:val="left"/>
            </w:pPr>
            <w:r>
              <w:t xml:space="preserve">Nodes</w:t>
            </w:r>
          </w:p>
        </w:tc>
        <w:tc>
          <w:tcPr/>
          <w:p>
            <w:pPr>
              <w:pStyle w:val="Compact"/>
              <w:jc w:val="left"/>
            </w:pPr>
            <w:r>
              <w:rPr>
                <w:rStyle w:val="VerbatimChar"/>
              </w:rPr>
              <w:t xml:space="preserve">Company</w:t>
            </w:r>
          </w:p>
        </w:tc>
        <w:tc>
          <w:tcPr/>
          <w:p>
            <w:pPr>
              <w:pStyle w:val="Compact"/>
              <w:jc w:val="right"/>
            </w:pPr>
            <w:r>
              <w:t xml:space="preserve">2</w:t>
            </w:r>
            <w:r>
              <w:t xml:space="preserve">,</w:t>
            </w:r>
            <w:r>
              <w:t xml:space="preserve">492</w:t>
            </w:r>
          </w:p>
        </w:tc>
      </w:tr>
    </w:tbl>
    <w:bookmarkEnd w:id="88"/>
    <w:bookmarkStart w:id="89" w:name="f-replication"/>
    <w:p>
      <w:pPr>
        <w:pStyle w:val="Heading1"/>
      </w:pPr>
      <w:r>
        <w:t xml:space="preserve">F Replication</w:t>
      </w:r>
    </w:p>
    <w:p>
      <w:pPr>
        <w:numPr>
          <w:ilvl w:val="0"/>
          <w:numId w:val="1006"/>
        </w:numPr>
      </w:pPr>
      <w:r>
        <w:t xml:space="preserve">Clone the repository at revision</w:t>
      </w:r>
      <w:r>
        <w:t xml:space="preserve"> </w:t>
      </w:r>
      <w:r>
        <w:rPr>
          <w:rStyle w:val="VerbatimChar"/>
        </w:rPr>
        <w:t xml:space="preserve">2324b58</w:t>
      </w:r>
      <w:r>
        <w:t xml:space="preserve"> </w:t>
      </w:r>
      <w:r>
        <w:t xml:space="preserve">and create the Python 3.12 environment (</w:t>
      </w:r>
      <w:r>
        <w:rPr>
          <w:rStyle w:val="VerbatimChar"/>
        </w:rPr>
        <w:t xml:space="preserve">requirements.txt</w:t>
      </w:r>
      <w:r>
        <w:t xml:space="preserve">; DuckDB 2.0, pyarrow, lxml, sentence-transformers).</w:t>
      </w:r>
    </w:p>
    <w:p>
      <w:pPr>
        <w:numPr>
          <w:ilvl w:val="0"/>
          <w:numId w:val="1006"/>
        </w:numPr>
      </w:pPr>
      <w:r>
        <w:rPr>
          <w:rStyle w:val="VerbatimChar"/>
        </w:rPr>
        <w:t xml:space="preserve">python scripts/build_universe.py</w:t>
      </w:r>
      <w:r>
        <w:t xml:space="preserve"> </w:t>
      </w:r>
      <w:r>
        <w:t xml:space="preserve">rebuilds</w:t>
      </w:r>
      <w:r>
        <w:t xml:space="preserve"> </w:t>
      </w:r>
      <w:r>
        <w:rPr>
          <w:rStyle w:val="VerbatimChar"/>
        </w:rPr>
        <w:t xml:space="preserve">data/metadata/universe.json</w:t>
      </w:r>
      <w:r>
        <w:t xml:space="preserve">; the frozen artifact used here is kept with the paper (</w:t>
      </w:r>
      <w:r>
        <w:rPr>
          <w:rStyle w:val="VerbatimChar"/>
        </w:rPr>
        <w:t xml:space="preserve">data/</w:t>
      </w:r>
      <w:r>
        <w:t xml:space="preserve">) so that a later IWV file does not change the sample.</w:t>
      </w:r>
    </w:p>
    <w:p>
      <w:pPr>
        <w:numPr>
          <w:ilvl w:val="0"/>
          <w:numId w:val="1006"/>
        </w:numPr>
      </w:pPr>
      <w:r>
        <w:rPr>
          <w:rStyle w:val="VerbatimChar"/>
        </w:rPr>
        <w:t xml:space="preserve">python scripts/download_filings.py --universe --rate 9</w:t>
      </w:r>
      <w:r>
        <w:t xml:space="preserve"> </w:t>
      </w:r>
      <w:r>
        <w:t xml:space="preserve">downloads the corpus (idempotent; about 255 GB; seven hours at two IP addresses). The cluster orchestration used for the October 2026 build is in</w:t>
      </w:r>
      <w:r>
        <w:t xml:space="preserve"> </w:t>
      </w:r>
      <w:r>
        <w:rPr>
          <w:rStyle w:val="VerbatimChar"/>
        </w:rPr>
        <w:t xml:space="preserve">scripts/cluster/</w:t>
      </w:r>
      <w:r>
        <w:t xml:space="preserve">.</w:t>
      </w:r>
    </w:p>
    <w:p>
      <w:pPr>
        <w:numPr>
          <w:ilvl w:val="0"/>
          <w:numId w:val="1006"/>
        </w:numPr>
      </w:pPr>
      <w:r>
        <w:rPr>
          <w:rStyle w:val="VerbatimChar"/>
        </w:rPr>
        <w:t xml:space="preserve">python scripts/build_database.py</w:t>
      </w:r>
      <w:r>
        <w:t xml:space="preserve">,</w:t>
      </w:r>
      <w:r>
        <w:t xml:space="preserve"> </w:t>
      </w:r>
      <w:r>
        <w:rPr>
          <w:rStyle w:val="VerbatimChar"/>
        </w:rPr>
        <w:t xml:space="preserve">parse_filings.py</w:t>
      </w:r>
      <w:r>
        <w:t xml:space="preserve">,</w:t>
      </w:r>
      <w:r>
        <w:t xml:space="preserve"> </w:t>
      </w:r>
      <w:r>
        <w:rPr>
          <w:rStyle w:val="VerbatimChar"/>
        </w:rPr>
        <w:t xml:space="preserve">build_embeddings.py</w:t>
      </w:r>
      <w:r>
        <w:t xml:space="preserve">,</w:t>
      </w:r>
      <w:r>
        <w:t xml:space="preserve"> </w:t>
      </w:r>
      <w:r>
        <w:rPr>
          <w:rStyle w:val="VerbatimChar"/>
        </w:rPr>
        <w:t xml:space="preserve">build_factors.py</w:t>
      </w:r>
      <w:r>
        <w:t xml:space="preserve"> </w:t>
      </w:r>
      <w:r>
        <w:t xml:space="preserve">build the corpus layer;</w:t>
      </w:r>
      <w:r>
        <w:t xml:space="preserve"> </w:t>
      </w:r>
      <w:r>
        <w:rPr>
          <w:rStyle w:val="VerbatimChar"/>
        </w:rPr>
        <w:t xml:space="preserve">export_shard.py</w:t>
      </w:r>
      <w:r>
        <w:t xml:space="preserve">/</w:t>
      </w:r>
      <w:r>
        <w:rPr>
          <w:rStyle w:val="VerbatimChar"/>
        </w:rPr>
        <w:t xml:space="preserve">merge_shards.py</w:t>
      </w:r>
      <w:r>
        <w:t xml:space="preserve"> </w:t>
      </w:r>
      <w:r>
        <w:t xml:space="preserve">are needed only for a distributed build.</w:t>
      </w:r>
    </w:p>
    <w:p>
      <w:pPr>
        <w:numPr>
          <w:ilvl w:val="0"/>
          <w:numId w:val="1006"/>
        </w:numPr>
      </w:pPr>
      <w:r>
        <w:t xml:space="preserve">In</w:t>
      </w:r>
      <w:r>
        <w:t xml:space="preserve"> </w:t>
      </w:r>
      <w:r>
        <w:rPr>
          <w:rStyle w:val="VerbatimChar"/>
        </w:rPr>
        <w:t xml:space="preserve">project-db/</w:t>
      </w:r>
      <w:r>
        <w:t xml:space="preserve">:</w:t>
      </w:r>
      <w:r>
        <w:t xml:space="preserve"> </w:t>
      </w:r>
      <w:r>
        <w:rPr>
          <w:rStyle w:val="VerbatimChar"/>
        </w:rPr>
        <w:t xml:space="preserve">python -m spid pending</w:t>
      </w:r>
      <w:r>
        <w:t xml:space="preserve"> </w:t>
      </w:r>
      <w:r>
        <w:t xml:space="preserve">reports the sections to be extracted and the estimated cost;</w:t>
      </w:r>
      <w:r>
        <w:t xml:space="preserve"> </w:t>
      </w:r>
      <w:r>
        <w:rPr>
          <w:rStyle w:val="VerbatimChar"/>
        </w:rPr>
        <w:t xml:space="preserve">python run_full_extract.py --workers 48</w:t>
      </w:r>
      <w:r>
        <w:t xml:space="preserve"> </w:t>
      </w:r>
      <w:r>
        <w:t xml:space="preserve">runs the extraction against the ledger;</w:t>
      </w:r>
      <w:r>
        <w:t xml:space="preserve"> </w:t>
      </w:r>
      <w:r>
        <w:rPr>
          <w:rStyle w:val="VerbatimChar"/>
        </w:rPr>
        <w:t xml:space="preserve">python -m spid resolve graph embed analytics</w:t>
      </w:r>
      <w:r>
        <w:t xml:space="preserve"> </w:t>
      </w:r>
      <w:r>
        <w:t xml:space="preserve">builds the project layer.</w:t>
      </w:r>
    </w:p>
    <w:p>
      <w:pPr>
        <w:numPr>
          <w:ilvl w:val="0"/>
          <w:numId w:val="1006"/>
        </w:numPr>
      </w:pPr>
      <w:r>
        <w:t xml:space="preserve">In the working-paper folder:</w:t>
      </w:r>
      <w:r>
        <w:t xml:space="preserve"> </w:t>
      </w:r>
      <w:r>
        <w:rPr>
          <w:rStyle w:val="VerbatimChar"/>
        </w:rPr>
        <w:t xml:space="preserve">python code/export_stats.py &lt;repo&gt; data/</w:t>
      </w:r>
      <w:r>
        <w:t xml:space="preserve"> </w:t>
      </w:r>
      <w:r>
        <w:t xml:space="preserve">and</w:t>
      </w:r>
      <w:r>
        <w:t xml:space="preserve"> </w:t>
      </w:r>
      <w:r>
        <w:rPr>
          <w:rStyle w:val="VerbatimChar"/>
        </w:rPr>
        <w:t xml:space="preserve">python code/make_tables.py</w:t>
      </w:r>
      <w:r>
        <w:t xml:space="preserve"> </w:t>
      </w:r>
      <w:r>
        <w:t xml:space="preserve">regenerate every table and figure;</w:t>
      </w:r>
      <w:r>
        <w:t xml:space="preserve"> </w:t>
      </w:r>
      <w:r>
        <w:rPr>
          <w:rStyle w:val="VerbatimChar"/>
        </w:rPr>
        <w:t xml:space="preserve">latexmk</w:t>
      </w:r>
      <w:r>
        <w:t xml:space="preserve"> </w:t>
      </w:r>
      <w:r>
        <w:t xml:space="preserve">in</w:t>
      </w:r>
      <w:r>
        <w:t xml:space="preserve"> </w:t>
      </w:r>
      <w:r>
        <w:rPr>
          <w:rStyle w:val="VerbatimChar"/>
        </w:rPr>
        <w:t xml:space="preserve">paper/</w:t>
      </w:r>
      <w:r>
        <w:t xml:space="preserve"> </w:t>
      </w:r>
      <w:r>
        <w:t xml:space="preserve">compiles the manuscript.</w:t>
      </w:r>
    </w:p>
    <w:bookmarkEnd w:id="89"/>
    <w:bookmarkStart w:id="128" w:name="bibliography"/>
    <w:sectPr>
      <w:footnotePr>
        <w:numRestart w:val="eachSect"/>
      </w:footnotePr>
      <w:pgMar w:left="1224" w:right="12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Times New Roman" w:hAnsi="Times New Roman" w:eastAsia="Times New Roman" w:cs="Times New Roman"/>
      <w:sz w:val="24"/>
    </w:rPr>
  </w:style>
  <w:style w:styleId="BodyText" w:type="paragraph">
    <w:name w:val="Body Text"/>
    <w:basedOn w:val="Normal"/>
    <w:link w:val="BodyTextChar"/>
    <w:qFormat/>
    <w:pPr>
      <w:spacing w:after="180" w:before="180"/>
    </w:pPr>
    <w:rPr>
      <w:rFonts w:ascii="Times New Roman" w:hAnsi="Times New Roman" w:eastAsia="Times New Roman" w:cs="Times New Roman"/>
      <w:sz w:val="24"/>
    </w:rPr>
  </w:style>
  <w:style w:customStyle="1" w:styleId="FirstParagraph" w:type="paragraph">
    <w:name w:val="First Paragraph"/>
    <w:basedOn w:val="BodyText"/>
    <w:next w:val="BodyText"/>
    <w:qFormat/>
    <w:rPr>
      <w:rFonts w:ascii="Times New Roman" w:hAnsi="Times New Roman" w:eastAsia="Times New Roman" w:cs="Times New Roman"/>
      <w:sz w:val="24"/>
    </w:rPr>
  </w:style>
  <w:style w:customStyle="1" w:styleId="Compact" w:type="paragraph">
    <w:name w:val="Compact"/>
    <w:basedOn w:val="BodyText"/>
    <w:qFormat/>
    <w:pPr>
      <w:spacing w:after="36" w:before="36"/>
    </w:pPr>
    <w:rPr>
      <w:rFonts w:ascii="Times New Roman" w:hAnsi="Times New Roman" w:eastAsia="Times New Roman" w:cs="Times New Roman"/>
      <w:sz w:val="24"/>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ascii="Times New Roman" w:hAnsi="Times New Roman" w:eastAsia="Times New Roman" w:cs="Times New Roman"/>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rFonts w:ascii="Times New Roman" w:hAnsi="Times New Roman" w:eastAsia="Times New Roman" w:cs="Times New Roman"/>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ascii="Times New Roman" w:hAnsi="Times New Roman" w:eastAsia="Times New Roman" w:cs="Times New Roman"/>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ascii="Times New Roman" w:hAnsi="Times New Roman" w:eastAsia="Times New Roman" w:cs="Times New Roman"/>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ascii="Times New Roman" w:hAnsi="Times New Roman" w:eastAsia="Times New Roman" w:cs="Times New Roman"/>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ascii="Times New Roman" w:hAnsi="Times New Roman" w:eastAsia="Times New Roman" w:cs="Times New Roman"/>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ascii="Times New Roman" w:hAnsi="Times New Roman" w:eastAsia="Times New Roman" w:cs="Times New Roman"/>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ascii="Times New Roman" w:hAnsi="Times New Roman" w:eastAsia="Times New Roman" w:cs="Times New Roman"/>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ascii="Times New Roman" w:hAnsi="Times New Roman" w:eastAsia="Times New Roman" w:cs="Times New Roman"/>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ascii="Times New Roman" w:hAnsi="Times New Roman" w:eastAsia="Times New Roman" w:cs="Times New Roman"/>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ascii="Times New Roman" w:hAnsi="Times New Roman" w:eastAsia="Times New Roman" w:cs="Times New Roman"/>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Times New Roman" w:hAnsi="Times New Roman" w:eastAsia="Times New Roman" w:cs="Times New Roman"/>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rFonts w:ascii="Times New Roman" w:hAnsi="Times New Roman" w:eastAsia="Times New Roman" w:cs="Times New Roman"/>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54" Type="http://schemas.openxmlformats.org/officeDocument/2006/relationships/image" Target="media/rId54.png"/><Relationship Id="rId24" Type="http://schemas.openxmlformats.org/officeDocument/2006/relationships/image" Target="media/rId24.png"/><Relationship Id="rId57" Type="http://schemas.openxmlformats.org/officeDocument/2006/relationships/image" Target="media/rId57.png"/><Relationship Id="rId29" Type="http://schemas.openxmlformats.org/officeDocument/2006/relationships/image" Target="media/rId29.png"/><Relationship Id="rId50" Type="http://schemas.openxmlformats.org/officeDocument/2006/relationships/image" Target="media/rId50.png"/><Relationship Id="rId9" Type="http://schemas.openxmlformats.org/officeDocument/2006/relationships/image" Target="media/rId9.jpg"/><Relationship Id="rId92" Type="http://schemas.openxmlformats.org/officeDocument/2006/relationships/hyperlink" Target="https://doi.org/10.1007/978-3-642-31164-2" TargetMode="External"/><Relationship Id="rId96" Type="http://schemas.openxmlformats.org/officeDocument/2006/relationships/hyperlink" Target="https://doi.org/10.1016/j.jacceco.2017.07.002" TargetMode="External"/><Relationship Id="rId98" Type="http://schemas.openxmlformats.org/officeDocument/2006/relationships/hyperlink" Target="https://doi.org/10.1080/01621459.1969.10501049" TargetMode="External"/><Relationship Id="rId110" Type="http://schemas.openxmlformats.org/officeDocument/2006/relationships/hyperlink" Target="https://doi.org/10.1086/688176" TargetMode="External"/><Relationship Id="rId104" Type="http://schemas.openxmlformats.org/officeDocument/2006/relationships/hyperlink" Target="https://doi.org/10.1093/pan/mps028" TargetMode="External"/><Relationship Id="rId106" Type="http://schemas.openxmlformats.org/officeDocument/2006/relationships/hyperlink" Target="https://doi.org/10.1093/qje/qjz021" TargetMode="External"/><Relationship Id="rId114" Type="http://schemas.openxmlformats.org/officeDocument/2006/relationships/hyperlink" Target="https://doi.org/10.1093/rfs/hhaa079" TargetMode="External"/><Relationship Id="rId108" Type="http://schemas.openxmlformats.org/officeDocument/2006/relationships/hyperlink" Target="https://doi.org/10.1093/rfs/hhu089" TargetMode="External"/><Relationship Id="rId118" Type="http://schemas.openxmlformats.org/officeDocument/2006/relationships/hyperlink" Target="https://doi.org/10.1111/1475-679X.12123" TargetMode="External"/><Relationship Id="rId116" Type="http://schemas.openxmlformats.org/officeDocument/2006/relationships/hyperlink" Target="https://doi.org/10.1111/j.1540-6261.2010.01625.x" TargetMode="External"/><Relationship Id="rId94" Type="http://schemas.openxmlformats.org/officeDocument/2006/relationships/hyperlink" Target="https://doi.org/10.1111/jofi.12885" TargetMode="External"/><Relationship Id="rId120" Type="http://schemas.openxmlformats.org/officeDocument/2006/relationships/hyperlink" Target="https://doi.org/10.1145/3299869.3320212" TargetMode="External"/><Relationship Id="rId112" Type="http://schemas.openxmlformats.org/officeDocument/2006/relationships/hyperlink" Target="https://doi.org/10.1257/aeri.20190499" TargetMode="External"/><Relationship Id="rId102" Type="http://schemas.openxmlformats.org/officeDocument/2006/relationships/hyperlink" Target="https://doi.org/10.1257/jel.20181020" TargetMode="External"/><Relationship Id="rId122" Type="http://schemas.openxmlformats.org/officeDocument/2006/relationships/hyperlink" Target="https://doi.org/10.18653/v1/D19-1410" TargetMode="External"/><Relationship Id="rId90" Type="http://schemas.openxmlformats.org/officeDocument/2006/relationships/hyperlink" Target="https://doi.org/10.3386/w28999" TargetMode="External"/><Relationship Id="rId100" Type="http://schemas.openxmlformats.org/officeDocument/2006/relationships/hyperlink" Target="https://www.lseg.com/en/ftse-russell/indices/russell-us" TargetMode="External"/><Relationship Id="rId125" Type="http://schemas.openxmlformats.org/officeDocument/2006/relationships/hyperlink" Target="https://www.sec.gov/os/accessing-edgar-data" TargetMode="External"/><Relationship Id="rId13" Type="http://schemas.openxmlformats.org/officeDocument/2006/relationships/hyperlink" Target="mailto:djerrycharli.tandjambianda@uqo.ca" TargetMode="External"/><Relationship Id="rId12" Type="http://schemas.openxmlformats.org/officeDocument/2006/relationships/hyperlink" Target="mailto:manel.kammoun@uqo.ca" TargetMode="External"/><Relationship Id="rId14" Type="http://schemas.openxmlformats.org/officeDocument/2006/relationships/hyperlink" Target="mailto:simon-pierre.boucher@uqo.ca" TargetMode="External"/></Relationships>
</file>

<file path=word/_rels/footnotes.xml.rels><?xml version='1.0' encoding='UTF-8' standalone='yes'?>
<Relationships xmlns="http://schemas.openxmlformats.org/package/2006/relationships"><Relationship Id="rId92" Type="http://schemas.openxmlformats.org/officeDocument/2006/relationships/hyperlink" Target="https://doi.org/10.1007/978-3-642-31164-2" TargetMode="External"/><Relationship Id="rId96" Type="http://schemas.openxmlformats.org/officeDocument/2006/relationships/hyperlink" Target="https://doi.org/10.1016/j.jacceco.2017.07.002" TargetMode="External"/><Relationship Id="rId98" Type="http://schemas.openxmlformats.org/officeDocument/2006/relationships/hyperlink" Target="https://doi.org/10.1080/01621459.1969.10501049" TargetMode="External"/><Relationship Id="rId110" Type="http://schemas.openxmlformats.org/officeDocument/2006/relationships/hyperlink" Target="https://doi.org/10.1086/688176" TargetMode="External"/><Relationship Id="rId104" Type="http://schemas.openxmlformats.org/officeDocument/2006/relationships/hyperlink" Target="https://doi.org/10.1093/pan/mps028" TargetMode="External"/><Relationship Id="rId106" Type="http://schemas.openxmlformats.org/officeDocument/2006/relationships/hyperlink" Target="https://doi.org/10.1093/qje/qjz021" TargetMode="External"/><Relationship Id="rId114" Type="http://schemas.openxmlformats.org/officeDocument/2006/relationships/hyperlink" Target="https://doi.org/10.1093/rfs/hhaa079" TargetMode="External"/><Relationship Id="rId108" Type="http://schemas.openxmlformats.org/officeDocument/2006/relationships/hyperlink" Target="https://doi.org/10.1093/rfs/hhu089" TargetMode="External"/><Relationship Id="rId118" Type="http://schemas.openxmlformats.org/officeDocument/2006/relationships/hyperlink" Target="https://doi.org/10.1111/1475-679X.12123" TargetMode="External"/><Relationship Id="rId116" Type="http://schemas.openxmlformats.org/officeDocument/2006/relationships/hyperlink" Target="https://doi.org/10.1111/j.1540-6261.2010.01625.x" TargetMode="External"/><Relationship Id="rId94" Type="http://schemas.openxmlformats.org/officeDocument/2006/relationships/hyperlink" Target="https://doi.org/10.1111/jofi.12885" TargetMode="External"/><Relationship Id="rId120" Type="http://schemas.openxmlformats.org/officeDocument/2006/relationships/hyperlink" Target="https://doi.org/10.1145/3299869.3320212" TargetMode="External"/><Relationship Id="rId112" Type="http://schemas.openxmlformats.org/officeDocument/2006/relationships/hyperlink" Target="https://doi.org/10.1257/aeri.20190499" TargetMode="External"/><Relationship Id="rId102" Type="http://schemas.openxmlformats.org/officeDocument/2006/relationships/hyperlink" Target="https://doi.org/10.1257/jel.20181020" TargetMode="External"/><Relationship Id="rId122" Type="http://schemas.openxmlformats.org/officeDocument/2006/relationships/hyperlink" Target="https://doi.org/10.18653/v1/D19-1410" TargetMode="External"/><Relationship Id="rId90" Type="http://schemas.openxmlformats.org/officeDocument/2006/relationships/hyperlink" Target="https://doi.org/10.3386/w28999" TargetMode="External"/><Relationship Id="rId100" Type="http://schemas.openxmlformats.org/officeDocument/2006/relationships/hyperlink" Target="https://www.lseg.com/en/ftse-russell/indices/russell-us" TargetMode="External"/><Relationship Id="rId125" Type="http://schemas.openxmlformats.org/officeDocument/2006/relationships/hyperlink" Target="https://www.sec.gov/os/accessing-edgar-data" TargetMode="External"/><Relationship Id="rId13" Type="http://schemas.openxmlformats.org/officeDocument/2006/relationships/hyperlink" Target="mailto:djerrycharli.tandjambianda@uqo.ca" TargetMode="External"/><Relationship Id="rId12" Type="http://schemas.openxmlformats.org/officeDocument/2006/relationships/hyperlink" Target="mailto:manel.kammoun@uqo.ca" TargetMode="External"/><Relationship Id="rId14" Type="http://schemas.openxmlformats.org/officeDocument/2006/relationships/hyperlink" Target="mailto:simon-pierre.boucher@uq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Corporate Disclosures to a Russell 3000 Strategic Project Database</dc:title>
  <dc:creator>Manel Kammoun; Djerrycharli Tandjambianda; Simon-Pierre Boucher</dc:creator>
  <dc:language>en-US</dc:language>
  <cp:keywords>SEC filings, text as data, corporate investment, strategic projects, information extraction, large language models, entity resolution, Russell 3000</cp:keywords>
  <dcterms:created xsi:type="dcterms:W3CDTF">2026-10-28T12:00:00Z</dcterms:created>
  <dcterms:modified xsi:type="dcterms:W3CDTF">2026-10-28T12:00:00Z</dcterms:modified>
  <dc:subject>Identification, Measurement, Validation, and Research Applications</dc:subject>
  <dc:description>UQO Working Paper No. 0001 (FIRC-funded), Version 1.0, October 28, 2026 (working draft under validation)</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references.bib</vt:lpwstr>
  </property>
  <property fmtid="{D5CDD505-2E9C-101B-9397-08002B2CF9AE}" pid="3" name="reference-section-title">
    <vt:lpwstr>References</vt:lpwstr>
  </property>
</Properties>
</file>