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Banque Commerciale de l'Outaouais — Security Summary</w:t>
      </w:r>
    </w:p>
    <w:p>
      <w:r>
        <w:t>Borrower: Ferronnerie Delorme Inc. (NEQ 1164 207 318)</w:t>
        <w:br/>
        <w:t>Facility: proposed equipment term loan, $1,800,000, 7-year term</w:t>
        <w:br/>
        <w:t>Prepared by: Jean-François Larose, Account Manager, Commercial Banking — Gatineau Centre</w:t>
        <w:br/>
        <w:t>Date: February 26, 2026</w:t>
      </w:r>
    </w:p>
    <w:p>
      <w:pPr>
        <w:pStyle w:val="Heading2"/>
      </w:pPr>
      <w:r>
        <w:t>1. Collateral proposed for the new facility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Item</w:t>
            </w:r>
          </w:p>
        </w:tc>
        <w:tc>
          <w:tcPr>
            <w:tcW w:type="dxa" w:w="1440"/>
          </w:tcPr>
          <w:p>
            <w:r>
              <w:t>Appraised / invoice value</w:t>
            </w:r>
          </w:p>
        </w:tc>
        <w:tc>
          <w:tcPr>
            <w:tcW w:type="dxa" w:w="1440"/>
          </w:tcPr>
          <w:p>
            <w:r>
              <w:t>Prior-ranking charges</w:t>
            </w:r>
          </w:p>
        </w:tc>
        <w:tc>
          <w:tcPr>
            <w:tcW w:type="dxa" w:w="1440"/>
          </w:tcPr>
          <w:p>
            <w:r>
              <w:t>Net available value</w:t>
            </w:r>
          </w:p>
        </w:tc>
        <w:tc>
          <w:tcPr>
            <w:tcW w:type="dxa" w:w="1440"/>
          </w:tcPr>
          <w:p>
            <w:r>
              <w:t>Advance rate</w:t>
            </w:r>
          </w:p>
        </w:tc>
        <w:tc>
          <w:tcPr>
            <w:tcW w:type="dxa" w:w="1440"/>
          </w:tcPr>
          <w:p>
            <w:r>
              <w:t>Lending value</w:t>
            </w:r>
          </w:p>
        </w:tc>
      </w:tr>
      <w:tr>
        <w:tc>
          <w:tcPr>
            <w:tcW w:type="dxa" w:w="1440"/>
          </w:tcPr>
          <w:p>
            <w:r>
              <w:t>New fibre laser cutting cell (Lasertek LX-6000) and hydraulic press brake (Bystron PB-320) — first-ranking movable hypothec; value per supplier quotations dated 2026-02-09</w:t>
            </w:r>
          </w:p>
        </w:tc>
        <w:tc>
          <w:tcPr>
            <w:tcW w:type="dxa" w:w="1440"/>
          </w:tcPr>
          <w:p>
            <w:r>
              <w:t>$2,250,000</w:t>
            </w:r>
          </w:p>
        </w:tc>
        <w:tc>
          <w:tcPr>
            <w:tcW w:type="dxa" w:w="1440"/>
          </w:tcPr>
          <w:p>
            <w:r>
              <w:t>$0</w:t>
            </w:r>
          </w:p>
        </w:tc>
        <w:tc>
          <w:tcPr>
            <w:tcW w:type="dxa" w:w="1440"/>
          </w:tcPr>
          <w:p>
            <w:r>
              <w:t>$2,250,000</w:t>
            </w:r>
          </w:p>
        </w:tc>
        <w:tc>
          <w:tcPr>
            <w:tcW w:type="dxa" w:w="1440"/>
          </w:tcPr>
          <w:p>
            <w:r>
              <w:t>75%</w:t>
            </w:r>
          </w:p>
        </w:tc>
        <w:tc>
          <w:tcPr>
            <w:tcW w:type="dxa" w:w="1440"/>
          </w:tcPr>
          <w:p>
            <w:r>
              <w:t>$1,687,500</w:t>
            </w:r>
          </w:p>
        </w:tc>
      </w:tr>
      <w:tr>
        <w:tc>
          <w:tcPr>
            <w:tcW w:type="dxa" w:w="1440"/>
          </w:tcPr>
          <w:p>
            <w:r>
              <w:t>Existing machinery and equipment — second-ranking movable hypothec; fair market value per appraisal by Évaluations Industrielles Outaouais Inc. dated 2025-09-18; prior charge = BCO term loan balance at 2025-12-31</w:t>
            </w:r>
          </w:p>
        </w:tc>
        <w:tc>
          <w:tcPr>
            <w:tcW w:type="dxa" w:w="1440"/>
          </w:tcPr>
          <w:p>
            <w:r>
              <w:t>$1,480,000</w:t>
            </w:r>
          </w:p>
        </w:tc>
        <w:tc>
          <w:tcPr>
            <w:tcW w:type="dxa" w:w="1440"/>
          </w:tcPr>
          <w:p>
            <w:r>
              <w:t>$1,200,000</w:t>
            </w:r>
          </w:p>
        </w:tc>
        <w:tc>
          <w:tcPr>
            <w:tcW w:type="dxa" w:w="1440"/>
          </w:tcPr>
          <w:p>
            <w:r>
              <w:t>$280,000</w:t>
            </w:r>
          </w:p>
        </w:tc>
        <w:tc>
          <w:tcPr>
            <w:tcW w:type="dxa" w:w="1440"/>
          </w:tcPr>
          <w:p>
            <w:r>
              <w:t>60%</w:t>
            </w:r>
          </w:p>
        </w:tc>
        <w:tc>
          <w:tcPr>
            <w:tcW w:type="dxa" w:w="1440"/>
          </w:tcPr>
          <w:p>
            <w:r>
              <w:t>$168,000</w:t>
            </w:r>
          </w:p>
        </w:tc>
      </w:tr>
      <w:tr>
        <w:tc>
          <w:tcPr>
            <w:tcW w:type="dxa" w:w="1440"/>
          </w:tcPr>
          <w:p>
            <w:r>
              <w:t>Total</w:t>
            </w:r>
          </w:p>
        </w:tc>
        <w:tc>
          <w:tcPr>
            <w:tcW w:type="dxa" w:w="1440"/>
          </w:tcPr>
          <w:p>
            <w:r>
              <w:t>$3,730,000</w:t>
            </w:r>
          </w:p>
        </w:tc>
        <w:tc>
          <w:tcPr>
            <w:tcW w:type="dxa" w:w="1440"/>
          </w:tcPr>
          <w:p>
            <w:r>
              <w:t>$1,200,000</w:t>
            </w:r>
          </w:p>
        </w:tc>
        <w:tc>
          <w:tcPr>
            <w:tcW w:type="dxa" w:w="1440"/>
          </w:tcPr>
          <w:p>
            <w:r>
              <w:t>$2,530,000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$1,855,500</w:t>
            </w:r>
          </w:p>
        </w:tc>
      </w:tr>
    </w:tbl>
    <w:p>
      <w:r>
        <w:t>The new equipment has a manufacturer-stated useful life of 12 years. The supplier quotations are in Canadian dollars, delivered and installed, excluding GST/QST. The existing-equipment appraisal reports a fair market value in continued use; orderly liquidation value was estimated at 62 % of fair market value.</w:t>
      </w:r>
    </w:p>
    <w:p>
      <w:pPr>
        <w:pStyle w:val="Heading2"/>
      </w:pPr>
      <w:r>
        <w:t>2. Security already held (not available for the new facility)</w:t>
      </w:r>
    </w:p>
    <w:p>
      <w:r>
        <w:t>General security agreement over accounts receivable and inventories, first ranking, securing the operating line of credit (authorised $600,000, drawn $250,000 at 2025-12-31). Per policy, assets charged to the operating line are excluded from the loan-to-value calculation of a term facility. Margin for information: receivables $1,310,000 × 75 %, inventories $1,095,000 × 50 %.</w:t>
      </w:r>
    </w:p>
    <w:p>
      <w:r>
        <w:t>Personal guarantees: unlimited joint and several guarantees of Martin Delorme and Caroline Delorme-Pagé (existing, to be extended to the new facility). Guarantor net worth statements dated 2026-01-31 on file: combined net worth $2.1 M, mostly principal residence and RRSPs.</w:t>
      </w:r>
    </w:p>
    <w:p>
      <w:pPr>
        <w:pStyle w:val="Heading2"/>
      </w:pPr>
      <w:r>
        <w:t>3. Other</w:t>
      </w:r>
    </w:p>
    <w:p>
      <w:r>
        <w:t>Equity injection: the shareholders will contribute $450,000 toward the purchase price of $2,250,000 from personal funds; proof of funds is requested but not yet received.</w:t>
      </w:r>
    </w:p>
    <w:p>
      <w:r>
        <w:t>Insurance: all-risk coverage on equipment to be assigned to the bank; certificate pending.</w:t>
      </w:r>
    </w:p>
    <w:p>
      <w:r>
        <w:t>Registration: movable hypothec to be published at the RDPRM before disbursement.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Jean-François Larose</dc:creator>
  <cp:keywords/>
  <dc:description>generated by python-docx</dc:description>
  <cp:lastModifiedBy/>
  <cp:revision>1</cp:revision>
  <dcterms:created xsi:type="dcterms:W3CDTF">2026-02-24T09:00:00Z</dcterms:created>
  <dcterms:modified xsi:type="dcterms:W3CDTF">2026-02-24T09:00:00Z</dcterms:modified>
  <cp:category/>
</cp:coreProperties>
</file>