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Nordvale Capital Partners — Internal memorandum</w:t>
      </w:r>
    </w:p>
    <w:p>
      <w:r>
        <w:t>To: Associate, Industrials coverage</w:t>
      </w:r>
    </w:p>
    <w:p>
      <w:r>
        <w:t>From: Geneviève Marchand, Vice-President, Industrials</w:t>
      </w:r>
    </w:p>
    <w:p>
      <w:r>
        <w:t>Date: 12 January 2026</w:t>
      </w:r>
    </w:p>
    <w:p>
      <w:r>
        <w:t>Re: Valuation of Laurentide Composites Inc. (TSX: LCI) — assumptions for the base-case DCF</w:t>
      </w:r>
    </w:p>
    <w:p>
      <w:r>
        <w:t>Classification: Internal — not for distribution</w:t>
      </w:r>
    </w:p>
    <w:p>
      <w:pPr>
        <w:pStyle w:val="Heading2"/>
      </w:pPr>
      <w:r>
        <w:t>1. Purpose</w:t>
      </w:r>
    </w:p>
    <w:p>
      <w:r>
        <w:t>We are preparing a pitch to the board of Laurentide Composites Inc. ("LCI" or the "Company"). I need a base-case discounted cash-flow valuation of the equity as at 31 December 2025 and a short investment memorandum. To keep the model consistent with our other industrials work, the assumptions below are fixed. Do not change them without talking to me; if an input in the data room conflicts with these instructions, the audited financial statements govern and the conflict is to be noted in the memo.</w:t>
      </w:r>
    </w:p>
    <w:p>
      <w:pPr>
        <w:pStyle w:val="Heading2"/>
      </w:pPr>
      <w:r>
        <w:t>2. Projection assumptions (explicit period FY2026–FY2030)</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Item</w:t>
            </w:r>
          </w:p>
        </w:tc>
        <w:tc>
          <w:tcPr>
            <w:tcW w:type="dxa" w:w="1440"/>
          </w:tcPr>
          <w:p>
            <w:r>
              <w:t>FY2026</w:t>
            </w:r>
          </w:p>
        </w:tc>
        <w:tc>
          <w:tcPr>
            <w:tcW w:type="dxa" w:w="1440"/>
          </w:tcPr>
          <w:p>
            <w:r>
              <w:t>FY2027</w:t>
            </w:r>
          </w:p>
        </w:tc>
        <w:tc>
          <w:tcPr>
            <w:tcW w:type="dxa" w:w="1440"/>
          </w:tcPr>
          <w:p>
            <w:r>
              <w:t>FY2028</w:t>
            </w:r>
          </w:p>
        </w:tc>
        <w:tc>
          <w:tcPr>
            <w:tcW w:type="dxa" w:w="1440"/>
          </w:tcPr>
          <w:p>
            <w:r>
              <w:t>FY2029</w:t>
            </w:r>
          </w:p>
        </w:tc>
        <w:tc>
          <w:tcPr>
            <w:tcW w:type="dxa" w:w="1440"/>
          </w:tcPr>
          <w:p>
            <w:r>
              <w:t>FY2030</w:t>
            </w:r>
          </w:p>
        </w:tc>
      </w:tr>
      <w:tr>
        <w:tc>
          <w:tcPr>
            <w:tcW w:type="dxa" w:w="1440"/>
          </w:tcPr>
          <w:p>
            <w:r>
              <w:t>Revenue growth (% y/y)</w:t>
            </w:r>
          </w:p>
        </w:tc>
        <w:tc>
          <w:tcPr>
            <w:tcW w:type="dxa" w:w="1440"/>
          </w:tcPr>
          <w:p>
            <w:r>
              <w:t>7.0 %</w:t>
            </w:r>
          </w:p>
        </w:tc>
        <w:tc>
          <w:tcPr>
            <w:tcW w:type="dxa" w:w="1440"/>
          </w:tcPr>
          <w:p>
            <w:r>
              <w:t>6.0 %</w:t>
            </w:r>
          </w:p>
        </w:tc>
        <w:tc>
          <w:tcPr>
            <w:tcW w:type="dxa" w:w="1440"/>
          </w:tcPr>
          <w:p>
            <w:r>
              <w:t>5.0 %</w:t>
            </w:r>
          </w:p>
        </w:tc>
        <w:tc>
          <w:tcPr>
            <w:tcW w:type="dxa" w:w="1440"/>
          </w:tcPr>
          <w:p>
            <w:r>
              <w:t>4.0 %</w:t>
            </w:r>
          </w:p>
        </w:tc>
        <w:tc>
          <w:tcPr>
            <w:tcW w:type="dxa" w:w="1440"/>
          </w:tcPr>
          <w:p>
            <w:r>
              <w:t>3.0 %</w:t>
            </w:r>
          </w:p>
        </w:tc>
      </w:tr>
      <w:tr>
        <w:tc>
          <w:tcPr>
            <w:tcW w:type="dxa" w:w="1440"/>
          </w:tcPr>
          <w:p>
            <w:r>
              <w:t>EBITDA margin (% of revenue)</w:t>
            </w:r>
          </w:p>
        </w:tc>
        <w:tc>
          <w:tcPr>
            <w:tcW w:type="dxa" w:w="1440"/>
          </w:tcPr>
          <w:p>
            <w:r>
              <w:t>16.0 %</w:t>
            </w:r>
          </w:p>
        </w:tc>
        <w:tc>
          <w:tcPr>
            <w:tcW w:type="dxa" w:w="1440"/>
          </w:tcPr>
          <w:p>
            <w:r>
              <w:t>16.3 %</w:t>
            </w:r>
          </w:p>
        </w:tc>
        <w:tc>
          <w:tcPr>
            <w:tcW w:type="dxa" w:w="1440"/>
          </w:tcPr>
          <w:p>
            <w:r>
              <w:t>16.5 %</w:t>
            </w:r>
          </w:p>
        </w:tc>
        <w:tc>
          <w:tcPr>
            <w:tcW w:type="dxa" w:w="1440"/>
          </w:tcPr>
          <w:p>
            <w:r>
              <w:t>16.5 %</w:t>
            </w:r>
          </w:p>
        </w:tc>
        <w:tc>
          <w:tcPr>
            <w:tcW w:type="dxa" w:w="1440"/>
          </w:tcPr>
          <w:p>
            <w:r>
              <w:t>16.5 %</w:t>
            </w:r>
          </w:p>
        </w:tc>
      </w:tr>
    </w:tbl>
    <w:p>
      <w:pPr>
        <w:pStyle w:val="ListBullet"/>
      </w:pPr>
      <w:r>
        <w:t>Starting point: FY2025 audited revenue of CAD 572,000 thousand (financial_statements.xlsx).</w:t>
      </w:r>
    </w:p>
    <w:p>
      <w:pPr>
        <w:pStyle w:val="ListBullet"/>
      </w:pPr>
      <w:r>
        <w:t>Depreciation and amortisation: hold constant, as a percentage of revenue, at the FY2025 ratio of D&amp;A to revenue per the audited income statement in financial_statements.xlsx.</w:t>
      </w:r>
    </w:p>
    <w:p>
      <w:pPr>
        <w:pStyle w:val="ListBullet"/>
      </w:pPr>
      <w:r>
        <w:t>Capital expenditures: 5.5 % of revenue every year (within management's guidance in the MD&amp;A).</w:t>
      </w:r>
    </w:p>
    <w:p>
      <w:pPr>
        <w:pStyle w:val="ListBullet"/>
      </w:pPr>
      <w:r>
        <w:t>Net working capital: investment equal to 12 % of the year-over-year change in revenue.</w:t>
      </w:r>
    </w:p>
    <w:p>
      <w:pPr>
        <w:pStyle w:val="ListBullet"/>
      </w:pPr>
      <w:r>
        <w:t>Cash taxes: 26.5 % of EBIT (no loss carry-forwards; ignore deferred taxes).</w:t>
      </w:r>
    </w:p>
    <w:p>
      <w:pPr>
        <w:pStyle w:val="ListBullet"/>
      </w:pPr>
      <w:r>
        <w:t>Unlevered free cash flow = EBIT × (1 − tax rate) + D&amp;A − capex − investment in net working capital.</w:t>
      </w:r>
    </w:p>
    <w:p>
      <w:pPr>
        <w:pStyle w:val="ListBullet"/>
      </w:pPr>
      <w:r>
        <w:t>Discounting: end-of-year cash flows, discount factor 1/(1+WACC)^t with t = 1 for FY2026. Do NOT use the mid-year convention.</w:t>
      </w:r>
    </w:p>
    <w:p>
      <w:pPr>
        <w:pStyle w:val="ListBullet"/>
      </w:pPr>
      <w:r>
        <w:t>Terminal value: Gordon growth on FY2030 free cash flow, g = 2.5 %, i.e. FCF2030 × (1+g) / (WACC − g), discounted with the FY2030 factor.</w:t>
      </w:r>
    </w:p>
    <w:p>
      <w:pPr>
        <w:pStyle w:val="Heading2"/>
      </w:pPr>
      <w:r>
        <w:t>3. Discount rate (WACC)</w:t>
      </w:r>
    </w:p>
    <w:p>
      <w:pPr>
        <w:pStyle w:val="ListBullet"/>
      </w:pPr>
      <w:r>
        <w:t>Cost of equity by CAPM: risk-free rate 3.4 %, equity risk premium 5.5 % (market_data.xlsx).</w:t>
      </w:r>
    </w:p>
    <w:p>
      <w:pPr>
        <w:pStyle w:val="ListBullet"/>
      </w:pPr>
      <w:r>
        <w:t>Beta: unlever each comparable's levered beta with the Hamada formula, βu = βL / (1 + (1 − t) × D/E), using the comparable's own D/E and t = 26.5 %. Exclude any comparable whose levered beta falls outside the plausibility range 0.3–2.5 (such values are vendor data errors); take the MEDIAN of the remaining unlevered betas; re-lever it at LCI's D/E.</w:t>
      </w:r>
    </w:p>
    <w:p>
      <w:pPr>
        <w:pStyle w:val="ListBullet"/>
      </w:pPr>
      <w:r>
        <w:t>LCI's D/E for re-levering and for the WACC weights = (borrowings + lease liabilities) / market capitalisation, where borrowings = current and non-current long-term debt plus the revolving credit facility, lease liabilities = current and non-current IFRS 16 lease liabilities (market_data.xlsx, sheet Net debt components), and market capitalisation = share price × shares outstanding.</w:t>
      </w:r>
    </w:p>
    <w:p>
      <w:pPr>
        <w:pStyle w:val="ListBullet"/>
      </w:pPr>
      <w:r>
        <w:t>Cost of debt: pre-tax 6.2 % (market_data.xlsx), after tax at 26.5 %.</w:t>
      </w:r>
    </w:p>
    <w:p>
      <w:pPr>
        <w:pStyle w:val="ListBullet"/>
      </w:pPr>
      <w:r>
        <w:t>WACC = E/(D+E) × cost of equity + D/(D+E) × after-tax cost of debt. Use the unrounded WACC in the model; report it to two decimals of a percent.</w:t>
      </w:r>
    </w:p>
    <w:p>
      <w:pPr>
        <w:pStyle w:val="Heading2"/>
      </w:pPr>
      <w:r>
        <w:t>4. From enterprise value to value per share</w:t>
      </w:r>
    </w:p>
    <w:p>
      <w:pPr>
        <w:pStyle w:val="ListBullet"/>
      </w:pPr>
      <w:r>
        <w:t>Net debt = borrowings + lease liabilities − cash and cash equivalents, all as at 31 December 2025 (market_data.xlsx, sheet Net debt components; ties to the audited balance sheet). Lease liabilities ARE debt for our purposes because EBITDA is stated after IFRS 16 (rent is below EBITDA).</w:t>
      </w:r>
    </w:p>
    <w:p>
      <w:pPr>
        <w:pStyle w:val="ListBullet"/>
      </w:pPr>
      <w:r>
        <w:t>There are no preferred shares, non-controlling interests or pension deficits.</w:t>
      </w:r>
    </w:p>
    <w:p>
      <w:pPr>
        <w:pStyle w:val="ListBullet"/>
      </w:pPr>
      <w:r>
        <w:t>Shares: basic shares outstanding per market_data.xlsx; there are no dilutive instruments, so basic = diluted.</w:t>
      </w:r>
    </w:p>
    <w:p>
      <w:pPr>
        <w:pStyle w:val="ListBullet"/>
      </w:pPr>
      <w:r>
        <w:t>Legal matter (Note 18 of the annual report excerpt): the provision already recognised stays in the base case as it is (it is in the balance sheet). The contingent claim that is NOT recognised must be EXCLUDED from the base case; show it as a separate sensitivity line: value per share if the full claim were deducted from equity value (no tax effect).</w:t>
      </w:r>
    </w:p>
    <w:p>
      <w:pPr>
        <w:pStyle w:val="Heading2"/>
      </w:pPr>
      <w:r>
        <w:t>5. Sensitivity and cross-check</w:t>
      </w:r>
    </w:p>
    <w:p>
      <w:pPr>
        <w:pStyle w:val="ListBullet"/>
      </w:pPr>
      <w:r>
        <w:t>Sensitivity table: enterprise value and value per share for WACC at base −1.0 pp, base, base +1.0 pp (rows) × terminal growth at 2.0 %, 2.5 %, 3.0 % (columns).</w:t>
      </w:r>
    </w:p>
    <w:p>
      <w:pPr>
        <w:pStyle w:val="ListBullet"/>
      </w:pPr>
      <w:r>
        <w:t>Cross-check: implied value from the median LTM EV/EBITDA of the comparable set applied to FY2025 EBITDA (the comparable excluded for beta may be kept for multiples — its multiples are not in question).</w:t>
      </w:r>
    </w:p>
    <w:p>
      <w:pPr>
        <w:pStyle w:val="ListBullet"/>
      </w:pPr>
      <w:r>
        <w:t>Recommendation versus the market price (house convention): BUY if base-case value per share exceeds the share price by more than 15 %, SELL if it is more than 15 % below, otherwise HOLD.</w:t>
      </w:r>
    </w:p>
    <w:p>
      <w:pPr>
        <w:pStyle w:val="Heading2"/>
      </w:pPr>
      <w:r>
        <w:t>6. Deliverables</w:t>
      </w:r>
    </w:p>
    <w:p>
      <w:pPr>
        <w:pStyle w:val="ListBullet"/>
      </w:pPr>
      <w:r>
        <w:t>dcf_model.xlsx with five sheets named Assumptions, Projections, WACC, Valuation and Sensitivity; live formulas (no hard-coded results), values visible when the file is opened.</w:t>
      </w:r>
    </w:p>
    <w:p>
      <w:pPr>
        <w:pStyle w:val="ListBullet"/>
      </w:pPr>
      <w:r>
        <w:t>investment_memo.docx: business overview, assumptions, valuation summary table, sensitivity, comparables cross-check, risks (including the legal matter and leverage), recommendation versus the market price. At least 600 words.</w:t>
      </w:r>
    </w:p>
    <w:p>
      <w:pPr>
        <w:pStyle w:val="ListBullet"/>
      </w:pPr>
      <w:r>
        <w:t>Portal: fill in the comparables record check and submit the valuation_summary form (WACC in %, enterprise value in CAD millions, value per share in CAD, recommendation) if the deal portal is available to you.</w:t>
      </w:r>
    </w:p>
    <w:p>
      <w:r>
        <w:t>A recent sell-side note on LCI is in the data room for market context and the comparables discussion.</w:t>
      </w:r>
    </w:p>
    <w:p>
      <w:r>
        <w:t>— G.M.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Marchand</dc:creator>
  <cp:keywords/>
  <dc:description>generated by python-docx</dc:description>
  <cp:lastModifiedBy/>
  <cp:revision>1</cp:revision>
  <dcterms:created xsi:type="dcterms:W3CDTF">2026-01-12T09:00:00Z</dcterms:created>
  <dcterms:modified xsi:type="dcterms:W3CDTF">2026-01-12T09:00:00Z</dcterms:modified>
  <cp:category/>
</cp:coreProperties>
</file>