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Engagement letter - residential appraisal</w:t>
      </w:r>
    </w:p>
    <w:p>
      <w:r>
        <w:t>Banque Commerciale de l'Outaouais (BCO)</w:t>
        <w:br/>
        <w:t>Mortgage Centre - Québec region</w:t>
        <w:br/>
        <w:t>1200, boulevard des Capucins, bureau 400, Québec (Québec) G1J 0B9 (fictional)</w:t>
      </w:r>
    </w:p>
    <w:p>
      <w:r>
        <w:t>Date: 2025-10-14</w:t>
        <w:br/>
        <w:t>File: BCO-MTG-2025-18834</w:t>
      </w:r>
    </w:p>
    <w:p>
      <w:r>
        <w:t>To: Geneviève Tanguay, É.A., Chief Appraiser, Évaluations Rivière-Nord Inc., 455, rue Saint-Joseph Est, bureau 210, Québec (Québec) G1K 3B6 (fictional)</w:t>
      </w:r>
    </w:p>
    <w:p>
      <w:pPr>
        <w:pStyle w:val="Heading2"/>
      </w:pPr>
      <w:r>
        <w:t>1. Property and purpose</w:t>
      </w:r>
    </w:p>
    <w:p>
      <w:r>
        <w:t>Subject property: 1472, rue des Merisiers, Val-Lorette (Québec) G3K 2T7 (Lot 6 123 457, Cadastre du Québec (fictional)). Owners and borrowers: Marc-Antoine Fradette and Julie Simard (borrowers).</w:t>
      </w:r>
    </w:p>
    <w:p>
      <w:r>
        <w:t>Purpose of the appraisal: to estimate the current market value of the fee simple interest in the subject property. Intended use: underwriting of a mortgage refinancing. Intended user: Banque Commerciale de l'Outaouais only. The report must not be relied upon by any other party.</w:t>
      </w:r>
    </w:p>
    <w:p>
      <w:pPr>
        <w:pStyle w:val="Heading2"/>
      </w:pPr>
      <w:r>
        <w:t>2. Scope and requirements</w:t>
      </w:r>
    </w:p>
    <w:p>
      <w:pPr>
        <w:pStyle w:val="ListBullet"/>
      </w:pPr>
      <w:r>
        <w:t>Effective date of value: the date of the physical inspection, which the bank understands is scheduled for 2025-10-20.</w:t>
      </w:r>
    </w:p>
    <w:p>
      <w:pPr>
        <w:pStyle w:val="ListBullet"/>
      </w:pPr>
      <w:r>
        <w:t>Approach: the sales comparison approach is required. The cost and income approaches may be omitted for a single-family owner-occupied dwelling, with a short justification.</w:t>
      </w:r>
    </w:p>
    <w:p>
      <w:pPr>
        <w:pStyle w:val="ListBullet"/>
      </w:pPr>
      <w:r>
        <w:t>Comparable sales: a minimum of three closed, arm's-length, open-market sales within the last 12 months and within the same submarket. Sales between related parties, foreclosures, estate transfers or sales not exposed to the market must not be used as comparables.</w:t>
      </w:r>
    </w:p>
    <w:p>
      <w:pPr>
        <w:pStyle w:val="ListBullet"/>
      </w:pPr>
      <w:r>
        <w:t>Market conditions: each sale must be adjusted to the effective date using documented market evidence; the bank will not accept unadjusted sales older than three months.</w:t>
      </w:r>
    </w:p>
    <w:p>
      <w:pPr>
        <w:pStyle w:val="ListBullet"/>
      </w:pPr>
      <w:r>
        <w:t>Adjustments must be supported (paired sales or equivalent evidence) and shown in an adjustment grid with the adjusted price of each comparable.</w:t>
      </w:r>
    </w:p>
    <w:p>
      <w:pPr>
        <w:pStyle w:val="ListBullet"/>
      </w:pPr>
      <w:r>
        <w:t>The report must state a single point estimate of market value in Canadian dollars, rounded to the nearest 1,000 CAD, and a reasonable range reflecting the uncertainty of the estimate.</w:t>
      </w:r>
    </w:p>
    <w:p>
      <w:pPr>
        <w:pStyle w:val="ListBullet"/>
      </w:pPr>
      <w:r>
        <w:t>Report content: identification of the property and client, scope of work, neighbourhood description, description of the improvements, highest and best use, comparable analysis, reconciliation, value conclusion, assumptions and limiting conditions, certification.</w:t>
      </w:r>
    </w:p>
    <w:p>
      <w:pPr>
        <w:pStyle w:val="ListBullet"/>
      </w:pPr>
      <w:r>
        <w:t>Any condition observed at inspection that may affect value or marketability (water infiltration, structural issue, deferred maintenance) must be disclosed.</w:t>
      </w:r>
    </w:p>
    <w:p>
      <w:pPr>
        <w:pStyle w:val="ListBullet"/>
      </w:pPr>
      <w:r>
        <w:t>Delivery: report in Word format by 2025-10-27 through the appraisal management portal; fee 475 CAD plus taxes (GST 5 %, QST 9.975 %).</w:t>
      </w:r>
    </w:p>
    <w:p>
      <w:pPr>
        <w:pStyle w:val="Heading2"/>
      </w:pPr>
      <w:r>
        <w:t>3. Confidentiality</w:t>
      </w:r>
    </w:p>
    <w:p>
      <w:r>
        <w:t>The appraiser must keep the borrower's information confidential and must not communicate the value conclusion to the borrower. Questions about this engagement go to the undersigned.</w:t>
      </w:r>
    </w:p>
    <w:p>
      <w:r>
        <w:br/>
        <w:t>Étienne Gaudreault</w:t>
        <w:br/>
        <w:t>Senior Mortgage Underwriter</w:t>
        <w:br/>
        <w:t>Banque Commerciale de l'Outaouais</w:t>
        <w:br/>
        <w:t>(fictional - WP42 benchmark)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2025-10-21T09:00:00Z</dcterms:created>
  <dcterms:modified xsi:type="dcterms:W3CDTF">2025-10-21T09:00:00Z</dcterms:modified>
  <cp:category/>
</cp:coreProperties>
</file>