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Boréal Fenestration Inc. — Request for Quotation</w:t>
      </w:r>
    </w:p>
    <w:p>
      <w:r>
        <w:rPr>
          <w:b/>
        </w:rPr>
        <w:t>RFQ No. BFI-2025-117</w:t>
      </w:r>
    </w:p>
    <w:p>
      <w:r>
        <w:t>Annual supply of aluminium extrusion profiles — window and door frame systems (2026 supply year)</w:t>
      </w:r>
    </w:p>
    <w:tbl>
      <w:tblPr>
        <w:tblStyle w:val="LightGrid-Accent1"/>
        <w:tblW w:type="auto" w:w="0"/>
        <w:tblLook w:firstColumn="1" w:firstRow="1" w:lastColumn="0" w:lastRow="0" w:noHBand="0" w:noVBand="1" w:val="04A0"/>
      </w:tblPr>
      <w:tblGrid>
        <w:gridCol w:w="4320"/>
        <w:gridCol w:w="4320"/>
      </w:tblGrid>
      <w:tr>
        <w:tc>
          <w:tcPr>
            <w:tcW w:type="dxa" w:w="4320"/>
          </w:tcPr>
          <w:p>
            <w:r>
              <w:t>Issued by</w:t>
            </w:r>
          </w:p>
        </w:tc>
        <w:tc>
          <w:tcPr>
            <w:tcW w:type="dxa" w:w="4320"/>
          </w:tcPr>
          <w:p>
            <w:r>
              <w:t>Boréal Fenestration Inc., Procurement</w:t>
              <w:br/>
              <w:t>275 rue des Manufacturiers, Gatineau (Québec)  J8T 0A1</w:t>
            </w:r>
          </w:p>
        </w:tc>
      </w:tr>
      <w:tr>
        <w:tc>
          <w:tcPr>
            <w:tcW w:type="dxa" w:w="4320"/>
          </w:tcPr>
          <w:p>
            <w:r>
              <w:t>Buyer contact</w:t>
            </w:r>
          </w:p>
        </w:tc>
        <w:tc>
          <w:tcPr>
            <w:tcW w:type="dxa" w:w="4320"/>
          </w:tcPr>
          <w:p>
            <w:r>
              <w:t>Geneviève Thibodeau, Procurement Manager — procurement@borealfenestration.example</w:t>
            </w:r>
          </w:p>
        </w:tc>
      </w:tr>
      <w:tr>
        <w:tc>
          <w:tcPr>
            <w:tcW w:type="dxa" w:w="4320"/>
          </w:tcPr>
          <w:p>
            <w:r>
              <w:t>Issue date</w:t>
            </w:r>
          </w:p>
        </w:tc>
        <w:tc>
          <w:tcPr>
            <w:tcW w:type="dxa" w:w="4320"/>
          </w:tcPr>
          <w:p>
            <w:r>
              <w:t>2025-09-19</w:t>
            </w:r>
          </w:p>
        </w:tc>
      </w:tr>
      <w:tr>
        <w:tc>
          <w:tcPr>
            <w:tcW w:type="dxa" w:w="4320"/>
          </w:tcPr>
          <w:p>
            <w:r>
              <w:t>Deadline for questions</w:t>
            </w:r>
          </w:p>
        </w:tc>
        <w:tc>
          <w:tcPr>
            <w:tcW w:type="dxa" w:w="4320"/>
          </w:tcPr>
          <w:p>
            <w:r>
              <w:t>2025-09-29</w:t>
            </w:r>
          </w:p>
        </w:tc>
      </w:tr>
      <w:tr>
        <w:tc>
          <w:tcPr>
            <w:tcW w:type="dxa" w:w="4320"/>
          </w:tcPr>
          <w:p>
            <w:r>
              <w:t>Quotation due</w:t>
            </w:r>
          </w:p>
        </w:tc>
        <w:tc>
          <w:tcPr>
            <w:tcW w:type="dxa" w:w="4320"/>
          </w:tcPr>
          <w:p>
            <w:r>
              <w:t>2025-10-10 at 17:00 (Eastern)</w:t>
            </w:r>
          </w:p>
        </w:tc>
      </w:tr>
      <w:tr>
        <w:tc>
          <w:tcPr>
            <w:tcW w:type="dxa" w:w="4320"/>
          </w:tcPr>
          <w:p>
            <w:r>
              <w:t>Supply period</w:t>
            </w:r>
          </w:p>
        </w:tc>
        <w:tc>
          <w:tcPr>
            <w:tcW w:type="dxa" w:w="4320"/>
          </w:tcPr>
          <w:p>
            <w:r>
              <w:t>1 January 2026 to 31 December 2026, monthly releases against a blanket purchase order</w:t>
            </w:r>
          </w:p>
        </w:tc>
      </w:tr>
      <w:tr>
        <w:tc>
          <w:tcPr>
            <w:tcW w:type="dxa" w:w="4320"/>
          </w:tcPr>
          <w:p>
            <w:r>
              <w:t>Reference</w:t>
            </w:r>
          </w:p>
        </w:tc>
        <w:tc>
          <w:tcPr>
            <w:tcW w:type="dxa" w:w="4320"/>
          </w:tcPr>
          <w:p>
            <w:r>
              <w:t>BFI vendor portal document library, RFQ BFI-2025-117</w:t>
            </w:r>
          </w:p>
        </w:tc>
      </w:tr>
    </w:tbl>
    <w:p>
      <w:pPr>
        <w:pStyle w:val="Heading1"/>
      </w:pPr>
      <w:r>
        <w:t>1. Scope</w:t>
      </w:r>
    </w:p>
    <w:p>
      <w:r>
        <w:t>Boréal Fenestration Inc. (BFI) manufactures residential and light-commercial windows and doors in Gatineau, Québec. BFI invites quotations for the annual supply of four extruded aluminium profiles used in its Série 4000 frame system. Quantities are BFI's best estimate of the 2026 requirement and will be released monthly; they are not a commitment to purchase a minimum volume.</w:t>
      </w:r>
    </w:p>
    <w:p>
      <w:pPr>
        <w:pStyle w:val="Heading1"/>
      </w:pPr>
      <w:r>
        <w:t>2. Items and annual quantities</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Line</w:t>
            </w:r>
          </w:p>
        </w:tc>
        <w:tc>
          <w:tcPr>
            <w:tcW w:type="dxa" w:w="1440"/>
          </w:tcPr>
          <w:p>
            <w:r>
              <w:t>BFI SKU</w:t>
            </w:r>
          </w:p>
        </w:tc>
        <w:tc>
          <w:tcPr>
            <w:tcW w:type="dxa" w:w="1440"/>
          </w:tcPr>
          <w:p>
            <w:r>
              <w:t>Description</w:t>
            </w:r>
          </w:p>
        </w:tc>
        <w:tc>
          <w:tcPr>
            <w:tcW w:type="dxa" w:w="1440"/>
          </w:tcPr>
          <w:p>
            <w:r>
              <w:t>Alloy / temper</w:t>
            </w:r>
          </w:p>
        </w:tc>
        <w:tc>
          <w:tcPr>
            <w:tcW w:type="dxa" w:w="1440"/>
          </w:tcPr>
          <w:p>
            <w:r>
              <w:t>Standard length</w:t>
            </w:r>
          </w:p>
        </w:tc>
        <w:tc>
          <w:tcPr>
            <w:tcW w:type="dxa" w:w="1440"/>
          </w:tcPr>
          <w:p>
            <w:r>
              <w:t>Annual quantity (linear metres)</w:t>
            </w:r>
          </w:p>
        </w:tc>
      </w:tr>
      <w:tr>
        <w:tc>
          <w:tcPr>
            <w:tcW w:type="dxa" w:w="1440"/>
          </w:tcPr>
          <w:p>
            <w:r>
              <w:t>1</w:t>
            </w:r>
          </w:p>
        </w:tc>
        <w:tc>
          <w:tcPr>
            <w:tcW w:type="dxa" w:w="1440"/>
          </w:tcPr>
          <w:p>
            <w:r>
              <w:t>BFI-EX-4120</w:t>
            </w:r>
          </w:p>
        </w:tc>
        <w:tc>
          <w:tcPr>
            <w:tcW w:type="dxa" w:w="1440"/>
          </w:tcPr>
          <w:p>
            <w:r>
              <w:t>Main frame profile, 4-chamber, 70 mm depth</w:t>
            </w:r>
          </w:p>
        </w:tc>
        <w:tc>
          <w:tcPr>
            <w:tcW w:type="dxa" w:w="1440"/>
          </w:tcPr>
          <w:p>
            <w:r>
              <w:t>6063-T5</w:t>
            </w:r>
          </w:p>
        </w:tc>
        <w:tc>
          <w:tcPr>
            <w:tcW w:type="dxa" w:w="1440"/>
          </w:tcPr>
          <w:p>
            <w:r>
              <w:t>6.1 m</w:t>
            </w:r>
          </w:p>
        </w:tc>
        <w:tc>
          <w:tcPr>
            <w:tcW w:type="dxa" w:w="1440"/>
          </w:tcPr>
          <w:p>
            <w:r>
              <w:t>18,000</w:t>
            </w:r>
          </w:p>
        </w:tc>
      </w:tr>
      <w:tr>
        <w:tc>
          <w:tcPr>
            <w:tcW w:type="dxa" w:w="1440"/>
          </w:tcPr>
          <w:p>
            <w:r>
              <w:t>2</w:t>
            </w:r>
          </w:p>
        </w:tc>
        <w:tc>
          <w:tcPr>
            <w:tcW w:type="dxa" w:w="1440"/>
          </w:tcPr>
          <w:p>
            <w:r>
              <w:t>BFI-EX-4125</w:t>
            </w:r>
          </w:p>
        </w:tc>
        <w:tc>
          <w:tcPr>
            <w:tcW w:type="dxa" w:w="1440"/>
          </w:tcPr>
          <w:p>
            <w:r>
              <w:t>Sash profile, 60 mm, thermal-break channel</w:t>
            </w:r>
          </w:p>
        </w:tc>
        <w:tc>
          <w:tcPr>
            <w:tcW w:type="dxa" w:w="1440"/>
          </w:tcPr>
          <w:p>
            <w:r>
              <w:t>6063-T5</w:t>
            </w:r>
          </w:p>
        </w:tc>
        <w:tc>
          <w:tcPr>
            <w:tcW w:type="dxa" w:w="1440"/>
          </w:tcPr>
          <w:p>
            <w:r>
              <w:t>6.1 m</w:t>
            </w:r>
          </w:p>
        </w:tc>
        <w:tc>
          <w:tcPr>
            <w:tcW w:type="dxa" w:w="1440"/>
          </w:tcPr>
          <w:p>
            <w:r>
              <w:t>14,500</w:t>
            </w:r>
          </w:p>
        </w:tc>
      </w:tr>
      <w:tr>
        <w:tc>
          <w:tcPr>
            <w:tcW w:type="dxa" w:w="1440"/>
          </w:tcPr>
          <w:p>
            <w:r>
              <w:t>3</w:t>
            </w:r>
          </w:p>
        </w:tc>
        <w:tc>
          <w:tcPr>
            <w:tcW w:type="dxa" w:w="1440"/>
          </w:tcPr>
          <w:p>
            <w:r>
              <w:t>BFI-EX-4310</w:t>
            </w:r>
          </w:p>
        </w:tc>
        <w:tc>
          <w:tcPr>
            <w:tcW w:type="dxa" w:w="1440"/>
          </w:tcPr>
          <w:p>
            <w:r>
              <w:t>Mullion profile, 70 x 42 mm</w:t>
            </w:r>
          </w:p>
        </w:tc>
        <w:tc>
          <w:tcPr>
            <w:tcW w:type="dxa" w:w="1440"/>
          </w:tcPr>
          <w:p>
            <w:r>
              <w:t>6063-T5</w:t>
            </w:r>
          </w:p>
        </w:tc>
        <w:tc>
          <w:tcPr>
            <w:tcW w:type="dxa" w:w="1440"/>
          </w:tcPr>
          <w:p>
            <w:r>
              <w:t>6.1 m</w:t>
            </w:r>
          </w:p>
        </w:tc>
        <w:tc>
          <w:tcPr>
            <w:tcW w:type="dxa" w:w="1440"/>
          </w:tcPr>
          <w:p>
            <w:r>
              <w:t>6,200</w:t>
            </w:r>
          </w:p>
        </w:tc>
      </w:tr>
      <w:tr>
        <w:tc>
          <w:tcPr>
            <w:tcW w:type="dxa" w:w="1440"/>
          </w:tcPr>
          <w:p>
            <w:r>
              <w:t>4</w:t>
            </w:r>
          </w:p>
        </w:tc>
        <w:tc>
          <w:tcPr>
            <w:tcW w:type="dxa" w:w="1440"/>
          </w:tcPr>
          <w:p>
            <w:r>
              <w:t>BFI-EX-4480</w:t>
            </w:r>
          </w:p>
        </w:tc>
        <w:tc>
          <w:tcPr>
            <w:tcW w:type="dxa" w:w="1440"/>
          </w:tcPr>
          <w:p>
            <w:r>
              <w:t>Sill / threshold profile, 120 mm, drainage slots</w:t>
            </w:r>
          </w:p>
        </w:tc>
        <w:tc>
          <w:tcPr>
            <w:tcW w:type="dxa" w:w="1440"/>
          </w:tcPr>
          <w:p>
            <w:r>
              <w:t>6063-T5</w:t>
            </w:r>
          </w:p>
        </w:tc>
        <w:tc>
          <w:tcPr>
            <w:tcW w:type="dxa" w:w="1440"/>
          </w:tcPr>
          <w:p>
            <w:r>
              <w:t>6.1 m</w:t>
            </w:r>
          </w:p>
        </w:tc>
        <w:tc>
          <w:tcPr>
            <w:tcW w:type="dxa" w:w="1440"/>
          </w:tcPr>
          <w:p>
            <w:r>
              <w:t>4,800</w:t>
            </w:r>
          </w:p>
        </w:tc>
      </w:tr>
    </w:tbl>
    <w:p>
      <w:r>
        <w:t>Suppliers must quote all four lines. Prices are per linear metre, delivered in bundles of standard length, and must remain firm for the supply period. Dies and drawings are BFI property (drawing set BFI-4000-rev.D, available on request under NDA).</w:t>
      </w:r>
    </w:p>
    <w:p>
      <w:pPr>
        <w:pStyle w:val="Heading1"/>
      </w:pPr>
      <w:r>
        <w:t>3. Mandatory technical requirements (Annex A)</w:t>
      </w:r>
    </w:p>
    <w:p>
      <w:pPr>
        <w:pStyle w:val="ListBullet"/>
      </w:pPr>
      <w:r>
        <w:t>Alloy 6063 in temper T5 per ASTM B221 / CSA; mill certificates with each shipment.</w:t>
      </w:r>
    </w:p>
    <w:p>
      <w:pPr>
        <w:pStyle w:val="ListBullet"/>
      </w:pPr>
      <w:r>
        <w:t>Dimensional tolerances per Aluminum Association Standards and Data, Table 11.2 (standard tolerances), unless tighter on the drawing.</w:t>
      </w:r>
    </w:p>
    <w:p>
      <w:pPr>
        <w:pStyle w:val="ListBullet"/>
      </w:pPr>
      <w:r>
        <w:t>Mill finish, surface suitable for subsequent anodising (no die lines deeper than 0.05 mm on visible faces).</w:t>
      </w:r>
    </w:p>
    <w:p>
      <w:pPr>
        <w:pStyle w:val="ListBullet"/>
      </w:pPr>
      <w:r>
        <w:t>Maximum lead time: 21 calendar days from receipt of each purchase order release to delivery at BFI, Gatineau.</w:t>
      </w:r>
    </w:p>
    <w:p>
      <w:pPr>
        <w:pStyle w:val="Heading1"/>
      </w:pPr>
      <w:r>
        <w:t>4. Commercial requirements</w:t>
      </w:r>
    </w:p>
    <w:p>
      <w:pPr>
        <w:pStyle w:val="ListBullet"/>
      </w:pPr>
      <w:r>
        <w:t>Delivery: DDP BFI plant, Gatineau (Incoterms 2020). Suppliers may alternatively quote EXW or FCA; in that case BFI will evaluate the quotation by adding the applicable annual freight allowance of Annex B.</w:t>
      </w:r>
    </w:p>
    <w:p>
      <w:pPr>
        <w:pStyle w:val="ListBullet"/>
      </w:pPr>
      <w:r>
        <w:t>Payment terms: BFI's standard terms are Net 45 days from invoice. Other terms may be offered and will be scored.</w:t>
      </w:r>
    </w:p>
    <w:p>
      <w:pPr>
        <w:pStyle w:val="ListBullet"/>
      </w:pPr>
      <w:r>
        <w:t>Currency: CAD or USD. For evaluation purposes, quotations in USD are converted at the fixed rate of 1 USD = 1.36 CAD stated in this RFQ, regardless of the market rate on the evaluation date.</w:t>
      </w:r>
    </w:p>
    <w:p>
      <w:pPr>
        <w:pStyle w:val="ListBullet"/>
      </w:pPr>
      <w:r>
        <w:t>Quotation validity: quotations must remain valid for at least 60 days from the quotation due date.</w:t>
      </w:r>
    </w:p>
    <w:p>
      <w:pPr>
        <w:pStyle w:val="ListBullet"/>
      </w:pPr>
      <w:r>
        <w:t>Taxes: all prices exclusive of GST and QST; the evaluation is performed on pre-tax amounts.</w:t>
      </w:r>
    </w:p>
    <w:p>
      <w:pPr>
        <w:pStyle w:val="ListBullet"/>
      </w:pPr>
      <w:r>
        <w:t>Warranty: state the warranty period against material and dimensional defects (minimum 12 months from delivery).</w:t>
      </w:r>
    </w:p>
    <w:p>
      <w:pPr>
        <w:pStyle w:val="ListBullet"/>
      </w:pPr>
      <w:r>
        <w:t>Quality: state whether the production site holds a valid ISO 9001:2015 certificate (certificate number and expiry).</w:t>
      </w:r>
    </w:p>
    <w:p>
      <w:pPr>
        <w:pStyle w:val="Heading1"/>
      </w:pPr>
      <w:r>
        <w:t>5. Evaluation</w:t>
      </w:r>
    </w:p>
    <w:p>
      <w:r>
        <w:t>Quotations are evaluated by the BFI Procurement department according to the weighted criteria published in the document 'Evaluation criteria — RFQ BFI-2025-117' (document library). Mandatory requirements are pass/fail; the remaining criteria are scored and weighted. BFI reserves the right to award to the quotation with the highest weighted score and to request clarifications or re-confirmation from any supplier.</w:t>
      </w:r>
    </w:p>
    <w:p>
      <w:pPr>
        <w:pStyle w:val="Heading1"/>
      </w:pPr>
      <w:r>
        <w:t>Annex A — Technical specification (summary)</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BFI SKU</w:t>
            </w:r>
          </w:p>
        </w:tc>
        <w:tc>
          <w:tcPr>
            <w:tcW w:type="dxa" w:w="2160"/>
          </w:tcPr>
          <w:p>
            <w:r>
              <w:t>Weight (kg/m, nominal)</w:t>
            </w:r>
          </w:p>
        </w:tc>
        <w:tc>
          <w:tcPr>
            <w:tcW w:type="dxa" w:w="2160"/>
          </w:tcPr>
          <w:p>
            <w:r>
              <w:t>Wall thickness (mm)</w:t>
            </w:r>
          </w:p>
        </w:tc>
        <w:tc>
          <w:tcPr>
            <w:tcW w:type="dxa" w:w="2160"/>
          </w:tcPr>
          <w:p>
            <w:r>
              <w:t>Drawing</w:t>
            </w:r>
          </w:p>
        </w:tc>
      </w:tr>
      <w:tr>
        <w:tc>
          <w:tcPr>
            <w:tcW w:type="dxa" w:w="2160"/>
          </w:tcPr>
          <w:p>
            <w:r>
              <w:t>BFI-EX-4120</w:t>
            </w:r>
          </w:p>
        </w:tc>
        <w:tc>
          <w:tcPr>
            <w:tcW w:type="dxa" w:w="2160"/>
          </w:tcPr>
          <w:p>
            <w:r>
              <w:t>1.42</w:t>
            </w:r>
          </w:p>
        </w:tc>
        <w:tc>
          <w:tcPr>
            <w:tcW w:type="dxa" w:w="2160"/>
          </w:tcPr>
          <w:p>
            <w:r>
              <w:t>1.6</w:t>
            </w:r>
          </w:p>
        </w:tc>
        <w:tc>
          <w:tcPr>
            <w:tcW w:type="dxa" w:w="2160"/>
          </w:tcPr>
          <w:p>
            <w:r>
              <w:t>BFI-EX-4120-rev.D</w:t>
            </w:r>
          </w:p>
        </w:tc>
      </w:tr>
      <w:tr>
        <w:tc>
          <w:tcPr>
            <w:tcW w:type="dxa" w:w="2160"/>
          </w:tcPr>
          <w:p>
            <w:r>
              <w:t>BFI-EX-4125</w:t>
            </w:r>
          </w:p>
        </w:tc>
        <w:tc>
          <w:tcPr>
            <w:tcW w:type="dxa" w:w="2160"/>
          </w:tcPr>
          <w:p>
            <w:r>
              <w:t>1.18</w:t>
            </w:r>
          </w:p>
        </w:tc>
        <w:tc>
          <w:tcPr>
            <w:tcW w:type="dxa" w:w="2160"/>
          </w:tcPr>
          <w:p>
            <w:r>
              <w:t>1.5</w:t>
            </w:r>
          </w:p>
        </w:tc>
        <w:tc>
          <w:tcPr>
            <w:tcW w:type="dxa" w:w="2160"/>
          </w:tcPr>
          <w:p>
            <w:r>
              <w:t>BFI-EX-4125-rev.D</w:t>
            </w:r>
          </w:p>
        </w:tc>
      </w:tr>
      <w:tr>
        <w:tc>
          <w:tcPr>
            <w:tcW w:type="dxa" w:w="2160"/>
          </w:tcPr>
          <w:p>
            <w:r>
              <w:t>BFI-EX-4310</w:t>
            </w:r>
          </w:p>
        </w:tc>
        <w:tc>
          <w:tcPr>
            <w:tcW w:type="dxa" w:w="2160"/>
          </w:tcPr>
          <w:p>
            <w:r>
              <w:t>1.55</w:t>
            </w:r>
          </w:p>
        </w:tc>
        <w:tc>
          <w:tcPr>
            <w:tcW w:type="dxa" w:w="2160"/>
          </w:tcPr>
          <w:p>
            <w:r>
              <w:t>1.8</w:t>
            </w:r>
          </w:p>
        </w:tc>
        <w:tc>
          <w:tcPr>
            <w:tcW w:type="dxa" w:w="2160"/>
          </w:tcPr>
          <w:p>
            <w:r>
              <w:t>BFI-EX-4310-rev.D</w:t>
            </w:r>
          </w:p>
        </w:tc>
      </w:tr>
      <w:tr>
        <w:tc>
          <w:tcPr>
            <w:tcW w:type="dxa" w:w="2160"/>
          </w:tcPr>
          <w:p>
            <w:r>
              <w:t>BFI-EX-4480</w:t>
            </w:r>
          </w:p>
        </w:tc>
        <w:tc>
          <w:tcPr>
            <w:tcW w:type="dxa" w:w="2160"/>
          </w:tcPr>
          <w:p>
            <w:r>
              <w:t>1.74</w:t>
            </w:r>
          </w:p>
        </w:tc>
        <w:tc>
          <w:tcPr>
            <w:tcW w:type="dxa" w:w="2160"/>
          </w:tcPr>
          <w:p>
            <w:r>
              <w:t>1.8</w:t>
            </w:r>
          </w:p>
        </w:tc>
        <w:tc>
          <w:tcPr>
            <w:tcW w:type="dxa" w:w="2160"/>
          </w:tcPr>
          <w:p>
            <w:r>
              <w:t>BFI-EX-4480-rev.D</w:t>
            </w:r>
          </w:p>
        </w:tc>
      </w:tr>
    </w:tbl>
    <w:p>
      <w:pPr>
        <w:pStyle w:val="Heading1"/>
      </w:pPr>
      <w:r>
        <w:t>Annex B — Annual freight allowance for EXW / FCA quotations</w:t>
      </w:r>
    </w:p>
    <w:p>
      <w:r>
        <w:t>For quotations that exclude delivery, BFI adds the following all-in annual freight allowance (transport, customs brokerage and transit insurance for twelve monthly shipments to Gatineau), obtained from BFI's contracted carrier on 2025-09-15. No further adjustment is made for duties.</w:t>
      </w:r>
    </w:p>
    <w:tbl>
      <w:tblPr>
        <w:tblStyle w:val="LightGrid-Accent1"/>
        <w:tblW w:type="auto" w:w="0"/>
        <w:tblLook w:firstColumn="1" w:firstRow="1" w:lastColumn="0" w:lastRow="0" w:noHBand="0" w:noVBand="1" w:val="04A0"/>
      </w:tblPr>
      <w:tblGrid>
        <w:gridCol w:w="4320"/>
        <w:gridCol w:w="4320"/>
      </w:tblGrid>
      <w:tr>
        <w:tc>
          <w:tcPr>
            <w:tcW w:type="dxa" w:w="4320"/>
          </w:tcPr>
          <w:p>
            <w:r>
              <w:t>Origin of shipment</w:t>
            </w:r>
          </w:p>
        </w:tc>
        <w:tc>
          <w:tcPr>
            <w:tcW w:type="dxa" w:w="4320"/>
          </w:tcPr>
          <w:p>
            <w:r>
              <w:t>Annual freight allowance (CAD, pre-tax)</w:t>
            </w:r>
          </w:p>
        </w:tc>
      </w:tr>
      <w:tr>
        <w:tc>
          <w:tcPr>
            <w:tcW w:type="dxa" w:w="4320"/>
          </w:tcPr>
          <w:p>
            <w:r>
              <w:t>Ontario (Greater Toronto / Golden Horseshoe)</w:t>
            </w:r>
          </w:p>
        </w:tc>
        <w:tc>
          <w:tcPr>
            <w:tcW w:type="dxa" w:w="4320"/>
          </w:tcPr>
          <w:p>
            <w:r>
              <w:t>12,400.00</w:t>
            </w:r>
          </w:p>
        </w:tc>
      </w:tr>
      <w:tr>
        <w:tc>
          <w:tcPr>
            <w:tcW w:type="dxa" w:w="4320"/>
          </w:tcPr>
          <w:p>
            <w:r>
              <w:t>United States, Northeast / Great Lakes (NY, PA, OH, MI)</w:t>
            </w:r>
          </w:p>
        </w:tc>
        <w:tc>
          <w:tcPr>
            <w:tcW w:type="dxa" w:w="4320"/>
          </w:tcPr>
          <w:p>
            <w:r>
              <w:t>18,500.00</w:t>
            </w:r>
          </w:p>
        </w:tc>
      </w:tr>
    </w:tbl>
    <w:p>
      <w:pPr>
        <w:pStyle w:val="Heading1"/>
      </w:pPr>
      <w:r>
        <w:t>Annex C — Submission</w:t>
      </w:r>
    </w:p>
    <w:p>
      <w:r>
        <w:t>Quotations are to be submitted as a PDF by e-mail to procurement@borealfenestration.example before the due date, and must state: unit price per line, extended annual amount per line, total, currency, Incoterm, lead time, payment terms, warranty, validity period and quality certifications. BFI buyer file: PUR-787803.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